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23" w:rsidRDefault="00005623" w:rsidP="004E09B8">
      <w:pPr>
        <w:spacing w:after="0" w:line="240" w:lineRule="auto"/>
        <w:rPr>
          <w:rFonts w:ascii="Times New Roman" w:eastAsia="Times New Roman" w:hAnsi="Times New Roman" w:cs="Times New Roman"/>
          <w:sz w:val="20"/>
          <w:szCs w:val="20"/>
        </w:rPr>
      </w:pPr>
      <w:hyperlink r:id="rId5" w:history="1">
        <w:r w:rsidRPr="00005623">
          <w:rPr>
            <w:rFonts w:ascii="Times New Roman" w:eastAsia="Times New Roman" w:hAnsi="Times New Roman" w:cs="Times New Roman"/>
            <w:color w:val="0000FF"/>
            <w:sz w:val="20"/>
            <w:szCs w:val="20"/>
            <w:u w:val="single"/>
          </w:rPr>
          <w:t>Livestock Research for Rural Development 31 (9) 2019</w:t>
        </w:r>
      </w:hyperlink>
    </w:p>
    <w:p w:rsidR="00005623" w:rsidRPr="00005623" w:rsidRDefault="00005623" w:rsidP="00005623">
      <w:pPr>
        <w:spacing w:after="0" w:line="240" w:lineRule="auto"/>
        <w:jc w:val="center"/>
        <w:rPr>
          <w:rFonts w:ascii="Times New Roman" w:eastAsia="Times New Roman" w:hAnsi="Times New Roman" w:cs="Times New Roman"/>
          <w:sz w:val="20"/>
          <w:szCs w:val="20"/>
        </w:rPr>
      </w:pPr>
    </w:p>
    <w:p w:rsidR="00005623" w:rsidRPr="004E09B8" w:rsidRDefault="00005623" w:rsidP="00005623">
      <w:pPr>
        <w:spacing w:before="100" w:beforeAutospacing="1" w:after="100" w:afterAutospacing="1" w:line="240" w:lineRule="auto"/>
        <w:jc w:val="both"/>
        <w:outlineLvl w:val="0"/>
        <w:rPr>
          <w:rFonts w:ascii="Times New Roman" w:eastAsia="Times New Roman" w:hAnsi="Times New Roman" w:cs="Times New Roman"/>
          <w:b/>
          <w:bCs/>
          <w:color w:val="000000"/>
          <w:kern w:val="36"/>
          <w:sz w:val="36"/>
          <w:szCs w:val="36"/>
        </w:rPr>
      </w:pPr>
      <w:r w:rsidRPr="004E09B8">
        <w:rPr>
          <w:rFonts w:ascii="Times New Roman" w:hAnsi="Times New Roman" w:cs="Times New Roman"/>
          <w:i/>
          <w:iCs/>
          <w:color w:val="000000"/>
          <w:sz w:val="20"/>
          <w:szCs w:val="20"/>
          <w:shd w:val="clear" w:color="auto" w:fill="FFFFFF"/>
        </w:rPr>
        <w:t>Received 16 August 2019; Accepted 16 August 2019; Published 1 September 2019</w:t>
      </w:r>
    </w:p>
    <w:p w:rsidR="00005623" w:rsidRPr="00005623" w:rsidRDefault="00A44D55" w:rsidP="004E09B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005623">
        <w:rPr>
          <w:rFonts w:ascii="Times New Roman" w:eastAsia="Times New Roman" w:hAnsi="Times New Roman" w:cs="Times New Roman"/>
          <w:b/>
          <w:bCs/>
          <w:color w:val="000000"/>
          <w:kern w:val="36"/>
          <w:sz w:val="28"/>
          <w:szCs w:val="28"/>
        </w:rPr>
        <w:t>EFFICACY OF CANOLA MEAL IN DIETS FOR GROWER AND FINISHER PIGS REARED IN VIETNAM</w:t>
      </w:r>
    </w:p>
    <w:p w:rsidR="00005623" w:rsidRPr="00005623" w:rsidRDefault="00005623" w:rsidP="004E09B8">
      <w:pPr>
        <w:spacing w:before="100" w:beforeAutospacing="1" w:after="100" w:afterAutospacing="1" w:line="240" w:lineRule="auto"/>
        <w:jc w:val="center"/>
        <w:outlineLvl w:val="1"/>
        <w:rPr>
          <w:rFonts w:ascii="Times New Roman" w:eastAsia="Times New Roman" w:hAnsi="Times New Roman" w:cs="Times New Roman"/>
          <w:b/>
          <w:bCs/>
          <w:color w:val="000000"/>
          <w:sz w:val="26"/>
          <w:szCs w:val="26"/>
        </w:rPr>
      </w:pPr>
      <w:r w:rsidRPr="00005623">
        <w:rPr>
          <w:rFonts w:ascii="Times New Roman" w:eastAsia="Times New Roman" w:hAnsi="Times New Roman" w:cs="Times New Roman"/>
          <w:b/>
          <w:bCs/>
          <w:color w:val="000000"/>
          <w:sz w:val="26"/>
          <w:szCs w:val="26"/>
        </w:rPr>
        <w:t>La Van Kinh, Phan Van Sy, La Thi Thanh Huyen and William W Riley</w:t>
      </w:r>
      <w:r w:rsidRPr="00005623">
        <w:rPr>
          <w:rFonts w:ascii="Times New Roman" w:eastAsia="Times New Roman" w:hAnsi="Times New Roman" w:cs="Times New Roman"/>
          <w:b/>
          <w:bCs/>
          <w:color w:val="000000"/>
          <w:sz w:val="26"/>
          <w:szCs w:val="26"/>
          <w:vertAlign w:val="superscript"/>
        </w:rPr>
        <w:t>1</w:t>
      </w:r>
    </w:p>
    <w:p w:rsidR="00005623" w:rsidRPr="00005623" w:rsidRDefault="00005623" w:rsidP="004E09B8">
      <w:pPr>
        <w:spacing w:before="100" w:beforeAutospacing="1" w:after="100" w:afterAutospacing="1" w:line="240" w:lineRule="auto"/>
        <w:jc w:val="center"/>
        <w:outlineLvl w:val="2"/>
        <w:rPr>
          <w:rFonts w:ascii="Times New Roman" w:eastAsia="Times New Roman" w:hAnsi="Times New Roman" w:cs="Times New Roman"/>
          <w:i/>
          <w:iCs/>
          <w:color w:val="000000"/>
          <w:sz w:val="20"/>
          <w:szCs w:val="20"/>
        </w:rPr>
      </w:pPr>
      <w:r w:rsidRPr="00005623">
        <w:rPr>
          <w:rFonts w:ascii="Times New Roman" w:eastAsia="Times New Roman" w:hAnsi="Times New Roman" w:cs="Times New Roman"/>
          <w:i/>
          <w:iCs/>
          <w:color w:val="000000"/>
          <w:sz w:val="20"/>
          <w:szCs w:val="20"/>
        </w:rPr>
        <w:t>Institute of Animal Sciences for Southern Vietnam, Hiep Thang, Binh Thang, Binh Duong Province,Vietnam.</w:t>
      </w:r>
      <w:r w:rsidRPr="00005623">
        <w:rPr>
          <w:rFonts w:ascii="Times New Roman" w:eastAsia="Times New Roman" w:hAnsi="Times New Roman" w:cs="Times New Roman"/>
          <w:i/>
          <w:iCs/>
          <w:color w:val="000000"/>
          <w:sz w:val="20"/>
          <w:szCs w:val="20"/>
        </w:rPr>
        <w:br/>
      </w:r>
      <w:hyperlink r:id="rId6" w:history="1">
        <w:r w:rsidRPr="00013174">
          <w:rPr>
            <w:rFonts w:ascii="Times New Roman" w:eastAsia="Times New Roman" w:hAnsi="Times New Roman" w:cs="Times New Roman"/>
            <w:i/>
            <w:iCs/>
            <w:color w:val="0000FF"/>
            <w:sz w:val="20"/>
            <w:szCs w:val="20"/>
            <w:u w:val="single"/>
          </w:rPr>
          <w:t>bakinh4@gmail.com</w:t>
        </w:r>
      </w:hyperlink>
      <w:r w:rsidRPr="00005623">
        <w:rPr>
          <w:rFonts w:ascii="Times New Roman" w:eastAsia="Times New Roman" w:hAnsi="Times New Roman" w:cs="Times New Roman"/>
          <w:i/>
          <w:iCs/>
          <w:color w:val="000000"/>
          <w:sz w:val="20"/>
          <w:szCs w:val="20"/>
        </w:rPr>
        <w:br/>
      </w:r>
      <w:r w:rsidRPr="00005623">
        <w:rPr>
          <w:rFonts w:ascii="Times New Roman" w:eastAsia="Times New Roman" w:hAnsi="Times New Roman" w:cs="Times New Roman"/>
          <w:i/>
          <w:iCs/>
          <w:color w:val="000000"/>
          <w:sz w:val="20"/>
          <w:szCs w:val="20"/>
          <w:vertAlign w:val="superscript"/>
        </w:rPr>
        <w:t>1</w:t>
      </w:r>
      <w:r w:rsidRPr="00005623">
        <w:rPr>
          <w:rFonts w:ascii="Times New Roman" w:eastAsia="Times New Roman" w:hAnsi="Times New Roman" w:cs="Times New Roman"/>
          <w:i/>
          <w:iCs/>
          <w:color w:val="000000"/>
          <w:sz w:val="20"/>
          <w:szCs w:val="20"/>
        </w:rPr>
        <w:t xml:space="preserve"> Department of Food Science and Nutrition, Alonzo Hall, University of the Philippines-Diliman, Quezon City, </w:t>
      </w:r>
      <w:bookmarkStart w:id="0" w:name="_GoBack"/>
      <w:bookmarkEnd w:id="0"/>
      <w:r w:rsidRPr="00005623">
        <w:rPr>
          <w:rFonts w:ascii="Times New Roman" w:eastAsia="Times New Roman" w:hAnsi="Times New Roman" w:cs="Times New Roman"/>
          <w:i/>
          <w:iCs/>
          <w:color w:val="000000"/>
          <w:sz w:val="20"/>
          <w:szCs w:val="20"/>
        </w:rPr>
        <w:t>Philippines 1101</w:t>
      </w:r>
    </w:p>
    <w:p w:rsidR="00005623" w:rsidRPr="00005623" w:rsidRDefault="00005623" w:rsidP="004E09B8">
      <w:pPr>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005623">
        <w:rPr>
          <w:rFonts w:ascii="Times New Roman" w:eastAsia="Times New Roman" w:hAnsi="Times New Roman" w:cs="Times New Roman"/>
          <w:b/>
          <w:bCs/>
          <w:color w:val="000000"/>
          <w:sz w:val="28"/>
          <w:szCs w:val="28"/>
        </w:rPr>
        <w:t>Abstract</w:t>
      </w:r>
    </w:p>
    <w:p w:rsidR="00005623" w:rsidRPr="00005623" w:rsidRDefault="00005623" w:rsidP="00005623">
      <w:pPr>
        <w:spacing w:before="100" w:beforeAutospacing="1" w:after="100" w:afterAutospacing="1" w:line="240" w:lineRule="auto"/>
        <w:jc w:val="both"/>
        <w:rPr>
          <w:rFonts w:ascii="Times New Roman" w:eastAsia="Times New Roman" w:hAnsi="Times New Roman" w:cs="Times New Roman"/>
          <w:color w:val="000000"/>
          <w:sz w:val="24"/>
          <w:szCs w:val="24"/>
        </w:rPr>
      </w:pPr>
      <w:r w:rsidRPr="00005623">
        <w:rPr>
          <w:rFonts w:ascii="Times New Roman" w:eastAsia="Times New Roman" w:hAnsi="Times New Roman" w:cs="Times New Roman"/>
          <w:color w:val="000000"/>
          <w:sz w:val="24"/>
          <w:szCs w:val="24"/>
        </w:rPr>
        <w:t>The effect of replacing soybean meal with canola meal (CM), sourced from Canada, in the diets of grower and finisher phase pigs on final weights and average daily gain was assessed. The canola meal was deemed low in glucosinolate levels and was fed in the diet replacing soybean meal (SBM) and maize at levels of 0%, 10%, 20% and 30% of the total diet to pigs in the grower phase beginni</w:t>
      </w:r>
      <w:r w:rsidR="004E09B8" w:rsidRPr="00013174">
        <w:rPr>
          <w:rFonts w:ascii="Times New Roman" w:eastAsia="Times New Roman" w:hAnsi="Times New Roman" w:cs="Times New Roman"/>
          <w:color w:val="000000"/>
          <w:sz w:val="24"/>
          <w:szCs w:val="24"/>
        </w:rPr>
        <w:t>ng at 20 kg and ending at 60 kg</w:t>
      </w:r>
      <w:r w:rsidRPr="00005623">
        <w:rPr>
          <w:rFonts w:ascii="Times New Roman" w:eastAsia="Times New Roman" w:hAnsi="Times New Roman" w:cs="Times New Roman"/>
          <w:color w:val="000000"/>
          <w:sz w:val="24"/>
          <w:szCs w:val="24"/>
        </w:rPr>
        <w:t>. Pigs in the finisher phase, weighing 60-100 kg, were fed levels of canola meal at 0%, 10%, 17.5% and 25% of the total diet, again displacing soybean meal and maize. In total, 360 pigs were assigned to the 4 treatments with 6 replicates and 15 pigs per replicate. Diets were formulated to contain 3,200 Kcal/kg of metabolizable energy (ME/kg) and 0.9% and 0.7% total lysine for the grower and finisher diets, respectively. From the initial stage to 60 days, there were no significant differences among the diets that included either 10% or 20% CM or SBM (</w:t>
      </w:r>
      <w:r w:rsidRPr="00013174">
        <w:rPr>
          <w:rFonts w:ascii="Times New Roman" w:eastAsia="Times New Roman" w:hAnsi="Times New Roman" w:cs="Times New Roman"/>
          <w:i/>
          <w:iCs/>
          <w:color w:val="000000"/>
          <w:sz w:val="24"/>
          <w:szCs w:val="24"/>
        </w:rPr>
        <w:t>p</w:t>
      </w:r>
      <w:r w:rsidRPr="00005623">
        <w:rPr>
          <w:rFonts w:ascii="Times New Roman" w:eastAsia="Times New Roman" w:hAnsi="Times New Roman" w:cs="Times New Roman"/>
          <w:color w:val="000000"/>
          <w:sz w:val="24"/>
          <w:szCs w:val="24"/>
        </w:rPr>
        <w:t>&gt;0.05). However, consumption of the 30% CM diet resulted in a significant reduction in the body weight of those animals relative to the SBM control group (</w:t>
      </w:r>
      <w:r w:rsidRPr="00013174">
        <w:rPr>
          <w:rFonts w:ascii="Times New Roman" w:eastAsia="Times New Roman" w:hAnsi="Times New Roman" w:cs="Times New Roman"/>
          <w:i/>
          <w:iCs/>
          <w:color w:val="000000"/>
          <w:sz w:val="24"/>
          <w:szCs w:val="24"/>
        </w:rPr>
        <w:t>p</w:t>
      </w:r>
      <w:r w:rsidRPr="00005623">
        <w:rPr>
          <w:rFonts w:ascii="Times New Roman" w:eastAsia="Times New Roman" w:hAnsi="Times New Roman" w:cs="Times New Roman"/>
          <w:color w:val="000000"/>
          <w:sz w:val="24"/>
          <w:szCs w:val="24"/>
        </w:rPr>
        <w:t> &lt;0.05). No differences in the feed conversion ratio (FCR) were apparent among the diets for the combined growth cycle (20-100 kg) using SBM, 10% or 20% CM (</w:t>
      </w:r>
      <w:r w:rsidRPr="00013174">
        <w:rPr>
          <w:rFonts w:ascii="Times New Roman" w:eastAsia="Times New Roman" w:hAnsi="Times New Roman" w:cs="Times New Roman"/>
          <w:i/>
          <w:iCs/>
          <w:color w:val="000000"/>
          <w:sz w:val="24"/>
          <w:szCs w:val="24"/>
        </w:rPr>
        <w:t>p</w:t>
      </w:r>
      <w:r w:rsidRPr="00005623">
        <w:rPr>
          <w:rFonts w:ascii="Times New Roman" w:eastAsia="Times New Roman" w:hAnsi="Times New Roman" w:cs="Times New Roman"/>
          <w:color w:val="000000"/>
          <w:sz w:val="24"/>
          <w:szCs w:val="24"/>
        </w:rPr>
        <w:t>&gt;0.05), but the highest inclusion level of CM (30%) resulted in a significantly poorer FCR than the other three treatment groups. This led to the conclusion that CM in diets for growing-finishing pigs should not exceed 20%.</w:t>
      </w:r>
    </w:p>
    <w:p w:rsidR="00005623" w:rsidRPr="00013174" w:rsidRDefault="00005623" w:rsidP="00005623">
      <w:pPr>
        <w:spacing w:before="100" w:beforeAutospacing="1" w:after="100" w:afterAutospacing="1" w:line="240" w:lineRule="auto"/>
        <w:jc w:val="both"/>
        <w:rPr>
          <w:rFonts w:ascii="Times New Roman" w:eastAsia="Times New Roman" w:hAnsi="Times New Roman" w:cs="Times New Roman"/>
          <w:i/>
          <w:iCs/>
          <w:color w:val="000000"/>
          <w:sz w:val="24"/>
          <w:szCs w:val="24"/>
        </w:rPr>
      </w:pPr>
      <w:r w:rsidRPr="00013174">
        <w:rPr>
          <w:rFonts w:ascii="Times New Roman" w:eastAsia="Times New Roman" w:hAnsi="Times New Roman" w:cs="Times New Roman"/>
          <w:b/>
          <w:bCs/>
          <w:i/>
          <w:iCs/>
          <w:color w:val="000000"/>
          <w:sz w:val="24"/>
          <w:szCs w:val="24"/>
        </w:rPr>
        <w:t>Keywords: </w:t>
      </w:r>
      <w:r w:rsidRPr="00013174">
        <w:rPr>
          <w:rFonts w:ascii="Times New Roman" w:eastAsia="Times New Roman" w:hAnsi="Times New Roman" w:cs="Times New Roman"/>
          <w:i/>
          <w:iCs/>
          <w:color w:val="000000"/>
          <w:sz w:val="24"/>
          <w:szCs w:val="24"/>
        </w:rPr>
        <w:t>Brassica species, canola meal, feed conversion, glucosinolates, performance</w:t>
      </w:r>
    </w:p>
    <w:p w:rsidR="00005623" w:rsidRPr="00013174" w:rsidRDefault="00005623" w:rsidP="00005623">
      <w:pPr>
        <w:pStyle w:val="Heading4"/>
        <w:jc w:val="both"/>
        <w:rPr>
          <w:color w:val="000000"/>
        </w:rPr>
      </w:pPr>
      <w:r w:rsidRPr="00013174">
        <w:rPr>
          <w:color w:val="000000"/>
        </w:rPr>
        <w:t>Introduction</w:t>
      </w:r>
    </w:p>
    <w:p w:rsidR="00005623" w:rsidRPr="00013174" w:rsidRDefault="00005623" w:rsidP="00005623">
      <w:pPr>
        <w:pStyle w:val="NormalWeb"/>
        <w:jc w:val="both"/>
        <w:rPr>
          <w:color w:val="000000"/>
        </w:rPr>
      </w:pPr>
      <w:r w:rsidRPr="00013174">
        <w:rPr>
          <w:color w:val="000000"/>
        </w:rPr>
        <w:t>Canola, or </w:t>
      </w:r>
      <w:r w:rsidRPr="00013174">
        <w:rPr>
          <w:rStyle w:val="Emphasis"/>
          <w:color w:val="000000"/>
        </w:rPr>
        <w:t>“Canada oil low acid”,</w:t>
      </w:r>
      <w:r w:rsidRPr="00013174">
        <w:rPr>
          <w:color w:val="000000"/>
        </w:rPr>
        <w:t> was derived from the rapeseed plant, which belongs to the </w:t>
      </w:r>
      <w:r w:rsidRPr="00013174">
        <w:rPr>
          <w:rStyle w:val="Emphasis"/>
          <w:color w:val="000000"/>
        </w:rPr>
        <w:t>Brassica</w:t>
      </w:r>
      <w:r w:rsidRPr="00013174">
        <w:rPr>
          <w:color w:val="000000"/>
        </w:rPr>
        <w:t xml:space="preserve"> (mustard) genus of crops. This genus contains the cruciferous plants, which include the well-known vegetables broccoli, kale, cabbage, turnip, radish, kale and cauliflower, and the condiment mustards (Bell, 1984). Canola seed is grown commercially first and foremost for its oil content which, at 43-44%, exceeds that of the most abundant oilseed cultivated in the world, the soybean (18-20% oil). The meal by-product derived during the processing of canola seed (i.e., canola meal = CM) is the second most widely traded protein ingredient after soybean meal (SBM), and it is generally traded at a discount to SBM based on its lower protein content (~36-38% versus 46-48% for de-hulled SBM) and energy content (variable by species). Despite a quantitative </w:t>
      </w:r>
      <w:r w:rsidRPr="00013174">
        <w:rPr>
          <w:color w:val="000000"/>
        </w:rPr>
        <w:lastRenderedPageBreak/>
        <w:t>difference in protein and amino acid content relative to SBM, CM does contain a well-balanced amino acid (AA) profile. When compared directly to SBM, CM contains less lysine but more methionine and cysteine (Sauer at el 1982; Newkirk et al 2003). CM is also a rich source of most of the essential minerals (Bell, 1993). Compared to SBM, it is relatively high in calcium, phosphorus, sulphur, magnesium, manganese and selenium, but it is lower in potassium and copper. The crude fibre content of CM is three times higher than it is in de-hulled SBM, which is due to the smaller canola seed size relative to the soybean. Small seed size results in more of the total mass of the seed being located on the surface of the seed, which represents the fibre-rich hull component. The relatively low levels of digestible energy (DE) and metabolizable energy (ME) in CM are due to this high level of seed fibre (Bell, 1993). CM, like most plant-based feed ingredients, contains important anti-nutritional factors, and these must be taken into consideration when formulating finished feeds. Glucosinolates (GLS) are sulphur-containing secondary plant metabolites that are found in the plant order </w:t>
      </w:r>
      <w:r w:rsidRPr="00013174">
        <w:rPr>
          <w:rStyle w:val="Emphasis"/>
          <w:color w:val="000000"/>
        </w:rPr>
        <w:t>Capparales</w:t>
      </w:r>
      <w:r w:rsidRPr="00013174">
        <w:rPr>
          <w:color w:val="000000"/>
        </w:rPr>
        <w:t>, sub-group </w:t>
      </w:r>
      <w:r w:rsidRPr="00013174">
        <w:rPr>
          <w:rStyle w:val="Emphasis"/>
          <w:color w:val="000000"/>
        </w:rPr>
        <w:t>Brassicales</w:t>
      </w:r>
      <w:r w:rsidRPr="00013174">
        <w:rPr>
          <w:color w:val="000000"/>
        </w:rPr>
        <w:t>. The glucosinolates in CM are of two types - aliphatic (~85%) and indolyl (~15%) (Newkirk et al 2003). The total GLS content of Canadian CM is approximately 4.2 µmoles/g (Newkirk et al 2003). By comparison, traditional rapeseed meal (RSM) contains 120-150 µmoles/g. GLS have well-described negative effects on feed intake in swine and on liver function in laying hens (Butler et al 1982; Campbell and Slominski, 1991), but their presence in canola has been reduced consistently over time through the efforts of Canadian and other plant breeders. This, in fact, has been one of the defining measures that differentiates canola from traditional rapeseed, and this has been used to further qualify the value of various sources of CM in world markets.</w:t>
      </w:r>
    </w:p>
    <w:p w:rsidR="00005623" w:rsidRPr="00013174" w:rsidRDefault="00005623" w:rsidP="00005623">
      <w:pPr>
        <w:pStyle w:val="NormalWeb"/>
        <w:jc w:val="both"/>
        <w:rPr>
          <w:color w:val="000000"/>
        </w:rPr>
      </w:pPr>
      <w:r w:rsidRPr="00013174">
        <w:rPr>
          <w:color w:val="000000"/>
        </w:rPr>
        <w:t>Given the relative values of SBM and CM to feed livestock, and the different sources available to use in southeast Asia, the objective of this study was to evaluate the efficacy of CM in improving the growth performance of grower and finisher pigs in Vietnam</w:t>
      </w:r>
      <w:r w:rsidR="00F73BC9">
        <w:rPr>
          <w:color w:val="000000"/>
        </w:rPr>
        <w:t>.</w:t>
      </w:r>
    </w:p>
    <w:p w:rsidR="00005623" w:rsidRPr="00013174" w:rsidRDefault="00005623" w:rsidP="00005623">
      <w:pPr>
        <w:pStyle w:val="Heading4"/>
        <w:jc w:val="both"/>
        <w:rPr>
          <w:color w:val="000000"/>
        </w:rPr>
      </w:pPr>
      <w:r w:rsidRPr="00013174">
        <w:rPr>
          <w:color w:val="000000"/>
        </w:rPr>
        <w:br/>
        <w:t>Materials and methods</w:t>
      </w:r>
    </w:p>
    <w:p w:rsidR="00005623" w:rsidRPr="00013174" w:rsidRDefault="00005623" w:rsidP="00005623">
      <w:pPr>
        <w:pStyle w:val="NormalWeb"/>
        <w:jc w:val="both"/>
        <w:rPr>
          <w:color w:val="000000"/>
        </w:rPr>
      </w:pPr>
      <w:r w:rsidRPr="00013174">
        <w:rPr>
          <w:color w:val="000000"/>
        </w:rPr>
        <w:t>The location of the trial was the Thong Nhat Pig Farm at the Thai My Commune, Cu Chi District, Ho Chi Minh City, Vietnam from November 2015 to April 2016.</w:t>
      </w:r>
    </w:p>
    <w:p w:rsidR="00005623" w:rsidRPr="00013174" w:rsidRDefault="00005623" w:rsidP="00005623">
      <w:pPr>
        <w:pStyle w:val="NormalWeb"/>
        <w:jc w:val="both"/>
        <w:rPr>
          <w:color w:val="000000"/>
        </w:rPr>
      </w:pPr>
      <w:r w:rsidRPr="00013174">
        <w:rPr>
          <w:color w:val="000000"/>
        </w:rPr>
        <w:t xml:space="preserve">A total of 360 piglets were randomly assigned to 4 treatments, with 6 replicates per treatment and 15 pigs per replicate. The control group was fed a maize-SBM diet. The compositions of the grower (20-60 kg body weight) and finisher (60-100 kg) diets are described in Tables 1 and 3, respectively, and their calculated nutrient compositions are displayed in Tables 2 and 4, respectively. CM was added to the diet as a replacement for SBM and maize, to represent 10%, 20% or 30% of the total ration by weight in the grower phase, and at 10%, 17.5% and 25% through the finisher phase. The diets were administered in a staggered fashion to the animals, with replicates 1, 2 and 3 being provided to the animals from November 24, 2015 to March 9, 2016 and replicates 4, 5 and 6 from December 15, 2015 to April 24, 2016. This was necessitated by the number of animals involved in the study and the limited available pen space. Individual pig weights were taken at the beginning of the trial, at day 60 and on the final day of the trial. Feed intake was recorded each day by pen, and spilled feed was recorded as well. Average daily gain (ADG) was calculated as the total bodyweight gained per pen divided by the number of live pig days during the specified time period. Mortalities were recorded at the time of death, including the weight at the time of death or cull, </w:t>
      </w:r>
      <w:r w:rsidRPr="00013174">
        <w:rPr>
          <w:color w:val="000000"/>
        </w:rPr>
        <w:lastRenderedPageBreak/>
        <w:t>the reason for culling or the reason for the mortality. Feed conversion ratios (FCR) were calculated as the total feed consumption divided by bodyweight gain and defined as follows: (sum of the final body weights of the surviving animals + the weight of mortalities and removals) – (sum of the initial body weights, including the initial bodyweight of the dead animals or those removed during the specified period). The feed quality of the raw material was analysed before the diets were formulated and then again after the experimental diets had been prepared.</w:t>
      </w:r>
    </w:p>
    <w:tbl>
      <w:tblPr>
        <w:tblW w:w="0" w:type="auto"/>
        <w:tblCellSpacing w:w="0" w:type="dxa"/>
        <w:tblCellMar>
          <w:left w:w="0" w:type="dxa"/>
          <w:right w:w="0" w:type="dxa"/>
        </w:tblCellMar>
        <w:tblLook w:val="04A0" w:firstRow="1" w:lastRow="0" w:firstColumn="1" w:lastColumn="0" w:noHBand="0" w:noVBand="1"/>
      </w:tblPr>
      <w:tblGrid>
        <w:gridCol w:w="3002"/>
        <w:gridCol w:w="901"/>
        <w:gridCol w:w="1568"/>
        <w:gridCol w:w="1568"/>
        <w:gridCol w:w="1568"/>
      </w:tblGrid>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pStyle w:val="NormalWeb"/>
              <w:jc w:val="both"/>
            </w:pPr>
            <w:r w:rsidRPr="00013174">
              <w:rPr>
                <w:rStyle w:val="Strong"/>
              </w:rPr>
              <w:t>Table 1. </w:t>
            </w:r>
            <w:r w:rsidRPr="00013174">
              <w:t>Experimental diets of pigs in grower stage of 20-60 kg of body weight (unit: kg)</w:t>
            </w:r>
          </w:p>
        </w:tc>
      </w:tr>
      <w:tr w:rsidR="00005623" w:rsidRPr="00013174" w:rsidTr="00005623">
        <w:trPr>
          <w:tblCellSpacing w:w="0" w:type="dxa"/>
        </w:trPr>
        <w:tc>
          <w:tcPr>
            <w:tcW w:w="1800" w:type="dxa"/>
            <w:vMerge w:val="restart"/>
            <w:vAlign w:val="center"/>
            <w:hideMark/>
          </w:tcPr>
          <w:p w:rsidR="00005623" w:rsidRPr="00013174" w:rsidRDefault="00005623" w:rsidP="00005623">
            <w:pPr>
              <w:pStyle w:val="NormalWeb"/>
              <w:jc w:val="both"/>
            </w:pPr>
            <w:r w:rsidRPr="00013174">
              <w:rPr>
                <w:rStyle w:val="Strong"/>
              </w:rPr>
              <w:t>Ingredient</w:t>
            </w:r>
          </w:p>
        </w:tc>
        <w:tc>
          <w:tcPr>
            <w:tcW w:w="0" w:type="auto"/>
            <w:gridSpan w:val="4"/>
            <w:tcBorders>
              <w:bottom w:val="single" w:sz="8" w:space="0" w:color="auto"/>
            </w:tcBorders>
            <w:vAlign w:val="center"/>
            <w:hideMark/>
          </w:tcPr>
          <w:p w:rsidR="00005623" w:rsidRPr="00013174" w:rsidRDefault="00005623" w:rsidP="00005623">
            <w:pPr>
              <w:pStyle w:val="NormalWeb"/>
              <w:jc w:val="both"/>
            </w:pPr>
            <w:r w:rsidRPr="00013174">
              <w:rPr>
                <w:rStyle w:val="Strong"/>
              </w:rPr>
              <w:t>Experimental diets</w:t>
            </w:r>
          </w:p>
        </w:tc>
      </w:tr>
      <w:tr w:rsidR="00005623" w:rsidRPr="00013174" w:rsidTr="00005623">
        <w:trPr>
          <w:tblCellSpacing w:w="0" w:type="dxa"/>
        </w:trPr>
        <w:tc>
          <w:tcPr>
            <w:tcW w:w="0" w:type="auto"/>
            <w:vMerge/>
            <w:vAlign w:val="center"/>
            <w:hideMark/>
          </w:tcPr>
          <w:p w:rsidR="00005623" w:rsidRPr="00013174" w:rsidRDefault="00005623" w:rsidP="00005623">
            <w:pPr>
              <w:jc w:val="both"/>
              <w:rPr>
                <w:rFonts w:ascii="Times New Roman" w:hAnsi="Times New Roman" w:cs="Times New Roman"/>
                <w:sz w:val="24"/>
                <w:szCs w:val="24"/>
              </w:rPr>
            </w:pPr>
          </w:p>
        </w:tc>
        <w:tc>
          <w:tcPr>
            <w:tcW w:w="0" w:type="auto"/>
            <w:vAlign w:val="center"/>
            <w:hideMark/>
          </w:tcPr>
          <w:p w:rsidR="00005623" w:rsidRPr="00013174" w:rsidRDefault="00005623" w:rsidP="00005623">
            <w:pPr>
              <w:pStyle w:val="NormalWeb"/>
              <w:jc w:val="both"/>
            </w:pPr>
            <w:r w:rsidRPr="00013174">
              <w:rPr>
                <w:rStyle w:val="Strong"/>
              </w:rPr>
              <w:t>SBM</w:t>
            </w:r>
          </w:p>
        </w:tc>
        <w:tc>
          <w:tcPr>
            <w:tcW w:w="0" w:type="auto"/>
            <w:vAlign w:val="center"/>
            <w:hideMark/>
          </w:tcPr>
          <w:p w:rsidR="00005623" w:rsidRPr="00013174" w:rsidRDefault="00005623" w:rsidP="00005623">
            <w:pPr>
              <w:pStyle w:val="NormalWeb"/>
              <w:jc w:val="both"/>
            </w:pPr>
            <w:r w:rsidRPr="00013174">
              <w:rPr>
                <w:rStyle w:val="Strong"/>
              </w:rPr>
              <w:t>10% CM</w:t>
            </w:r>
          </w:p>
        </w:tc>
        <w:tc>
          <w:tcPr>
            <w:tcW w:w="0" w:type="auto"/>
            <w:vAlign w:val="center"/>
            <w:hideMark/>
          </w:tcPr>
          <w:p w:rsidR="00005623" w:rsidRPr="00013174" w:rsidRDefault="00005623" w:rsidP="00005623">
            <w:pPr>
              <w:pStyle w:val="NormalWeb"/>
              <w:jc w:val="both"/>
            </w:pPr>
            <w:r w:rsidRPr="00013174">
              <w:rPr>
                <w:rStyle w:val="Strong"/>
              </w:rPr>
              <w:t>20% CM</w:t>
            </w:r>
          </w:p>
        </w:tc>
        <w:tc>
          <w:tcPr>
            <w:tcW w:w="0" w:type="auto"/>
            <w:vAlign w:val="center"/>
            <w:hideMark/>
          </w:tcPr>
          <w:p w:rsidR="00005623" w:rsidRPr="00013174" w:rsidRDefault="00005623" w:rsidP="00005623">
            <w:pPr>
              <w:pStyle w:val="NormalWeb"/>
              <w:jc w:val="both"/>
            </w:pPr>
            <w:r w:rsidRPr="00013174">
              <w:rPr>
                <w:rStyle w:val="Strong"/>
              </w:rPr>
              <w:t>30% CM</w:t>
            </w:r>
          </w:p>
        </w:tc>
      </w:tr>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Soybean Meal</w:t>
            </w:r>
          </w:p>
        </w:tc>
        <w:tc>
          <w:tcPr>
            <w:tcW w:w="0" w:type="auto"/>
            <w:vAlign w:val="center"/>
            <w:hideMark/>
          </w:tcPr>
          <w:p w:rsidR="00005623" w:rsidRPr="00013174" w:rsidRDefault="00005623" w:rsidP="00005623">
            <w:pPr>
              <w:pStyle w:val="NormalWeb"/>
              <w:jc w:val="both"/>
            </w:pPr>
            <w:r w:rsidRPr="00013174">
              <w:t>218</w:t>
            </w:r>
          </w:p>
        </w:tc>
        <w:tc>
          <w:tcPr>
            <w:tcW w:w="0" w:type="auto"/>
            <w:vAlign w:val="center"/>
            <w:hideMark/>
          </w:tcPr>
          <w:p w:rsidR="00005623" w:rsidRPr="00013174" w:rsidRDefault="00005623" w:rsidP="00005623">
            <w:pPr>
              <w:pStyle w:val="NormalWeb"/>
              <w:jc w:val="both"/>
            </w:pPr>
            <w:r w:rsidRPr="00013174">
              <w:t>146</w:t>
            </w:r>
          </w:p>
        </w:tc>
        <w:tc>
          <w:tcPr>
            <w:tcW w:w="0" w:type="auto"/>
            <w:vAlign w:val="center"/>
            <w:hideMark/>
          </w:tcPr>
          <w:p w:rsidR="00005623" w:rsidRPr="00013174" w:rsidRDefault="00005623" w:rsidP="00005623">
            <w:pPr>
              <w:pStyle w:val="NormalWeb"/>
              <w:jc w:val="both"/>
            </w:pPr>
            <w:r w:rsidRPr="00013174">
              <w:t>72</w:t>
            </w:r>
          </w:p>
        </w:tc>
        <w:tc>
          <w:tcPr>
            <w:tcW w:w="0" w:type="auto"/>
            <w:vAlign w:val="center"/>
            <w:hideMark/>
          </w:tcPr>
          <w:p w:rsidR="00005623" w:rsidRPr="00013174" w:rsidRDefault="00005623" w:rsidP="00005623">
            <w:pPr>
              <w:pStyle w:val="NormalWeb"/>
              <w:jc w:val="both"/>
            </w:pPr>
            <w:r w:rsidRPr="00013174">
              <w:t>12.1</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Canola Meal</w:t>
            </w:r>
          </w:p>
        </w:tc>
        <w:tc>
          <w:tcPr>
            <w:tcW w:w="0" w:type="auto"/>
            <w:vAlign w:val="center"/>
            <w:hideMark/>
          </w:tcPr>
          <w:p w:rsidR="00005623" w:rsidRPr="00013174" w:rsidRDefault="00005623" w:rsidP="00005623">
            <w:pPr>
              <w:pStyle w:val="NormalWeb"/>
              <w:jc w:val="both"/>
            </w:pPr>
            <w:r w:rsidRPr="00013174">
              <w:t>0</w:t>
            </w:r>
          </w:p>
        </w:tc>
        <w:tc>
          <w:tcPr>
            <w:tcW w:w="0" w:type="auto"/>
            <w:vAlign w:val="center"/>
            <w:hideMark/>
          </w:tcPr>
          <w:p w:rsidR="00005623" w:rsidRPr="00013174" w:rsidRDefault="00005623" w:rsidP="00005623">
            <w:pPr>
              <w:pStyle w:val="NormalWeb"/>
              <w:jc w:val="both"/>
            </w:pPr>
            <w:r w:rsidRPr="00013174">
              <w:t>100</w:t>
            </w:r>
          </w:p>
        </w:tc>
        <w:tc>
          <w:tcPr>
            <w:tcW w:w="0" w:type="auto"/>
            <w:vAlign w:val="center"/>
            <w:hideMark/>
          </w:tcPr>
          <w:p w:rsidR="00005623" w:rsidRPr="00013174" w:rsidRDefault="00005623" w:rsidP="00005623">
            <w:pPr>
              <w:pStyle w:val="NormalWeb"/>
              <w:jc w:val="both"/>
            </w:pPr>
            <w:r w:rsidRPr="00013174">
              <w:t>200</w:t>
            </w:r>
          </w:p>
        </w:tc>
        <w:tc>
          <w:tcPr>
            <w:tcW w:w="0" w:type="auto"/>
            <w:vAlign w:val="center"/>
            <w:hideMark/>
          </w:tcPr>
          <w:p w:rsidR="00005623" w:rsidRPr="00013174" w:rsidRDefault="00005623" w:rsidP="00005623">
            <w:pPr>
              <w:pStyle w:val="NormalWeb"/>
              <w:jc w:val="both"/>
            </w:pPr>
            <w:r w:rsidRPr="00013174">
              <w:t>300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Maize</w:t>
            </w:r>
          </w:p>
        </w:tc>
        <w:tc>
          <w:tcPr>
            <w:tcW w:w="0" w:type="auto"/>
            <w:vAlign w:val="center"/>
            <w:hideMark/>
          </w:tcPr>
          <w:p w:rsidR="00005623" w:rsidRPr="00013174" w:rsidRDefault="00005623" w:rsidP="00005623">
            <w:pPr>
              <w:pStyle w:val="NormalWeb"/>
              <w:jc w:val="both"/>
            </w:pPr>
            <w:r w:rsidRPr="00013174">
              <w:t>514</w:t>
            </w:r>
          </w:p>
        </w:tc>
        <w:tc>
          <w:tcPr>
            <w:tcW w:w="0" w:type="auto"/>
            <w:vAlign w:val="center"/>
            <w:hideMark/>
          </w:tcPr>
          <w:p w:rsidR="00005623" w:rsidRPr="00013174" w:rsidRDefault="00005623" w:rsidP="00005623">
            <w:pPr>
              <w:pStyle w:val="NormalWeb"/>
              <w:jc w:val="both"/>
            </w:pPr>
            <w:r w:rsidRPr="00013174">
              <w:t>515</w:t>
            </w:r>
          </w:p>
        </w:tc>
        <w:tc>
          <w:tcPr>
            <w:tcW w:w="0" w:type="auto"/>
            <w:vAlign w:val="center"/>
            <w:hideMark/>
          </w:tcPr>
          <w:p w:rsidR="00005623" w:rsidRPr="00013174" w:rsidRDefault="00005623" w:rsidP="00005623">
            <w:pPr>
              <w:pStyle w:val="NormalWeb"/>
              <w:jc w:val="both"/>
            </w:pPr>
            <w:r w:rsidRPr="00013174">
              <w:t>482</w:t>
            </w:r>
          </w:p>
        </w:tc>
        <w:tc>
          <w:tcPr>
            <w:tcW w:w="0" w:type="auto"/>
            <w:vAlign w:val="center"/>
            <w:hideMark/>
          </w:tcPr>
          <w:p w:rsidR="00005623" w:rsidRPr="00013174" w:rsidRDefault="00005623" w:rsidP="00005623">
            <w:pPr>
              <w:pStyle w:val="NormalWeb"/>
              <w:jc w:val="both"/>
            </w:pPr>
            <w:r w:rsidRPr="00013174">
              <w:t>445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L-Lysine</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0.80</w:t>
            </w:r>
          </w:p>
        </w:tc>
        <w:tc>
          <w:tcPr>
            <w:tcW w:w="0" w:type="auto"/>
            <w:vAlign w:val="center"/>
            <w:hideMark/>
          </w:tcPr>
          <w:p w:rsidR="00005623" w:rsidRPr="00013174" w:rsidRDefault="00005623" w:rsidP="00005623">
            <w:pPr>
              <w:pStyle w:val="NormalWeb"/>
              <w:jc w:val="both"/>
            </w:pPr>
            <w:r w:rsidRPr="00013174">
              <w:t>1.10</w:t>
            </w:r>
          </w:p>
        </w:tc>
        <w:tc>
          <w:tcPr>
            <w:tcW w:w="0" w:type="auto"/>
            <w:vAlign w:val="center"/>
            <w:hideMark/>
          </w:tcPr>
          <w:p w:rsidR="00005623" w:rsidRPr="00013174" w:rsidRDefault="00005623" w:rsidP="00005623">
            <w:pPr>
              <w:pStyle w:val="NormalWeb"/>
              <w:jc w:val="both"/>
            </w:pPr>
            <w:r w:rsidRPr="00013174">
              <w:t>1.40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Other ingredients</w:t>
            </w:r>
          </w:p>
        </w:tc>
        <w:tc>
          <w:tcPr>
            <w:tcW w:w="0" w:type="auto"/>
            <w:vAlign w:val="center"/>
            <w:hideMark/>
          </w:tcPr>
          <w:p w:rsidR="00005623" w:rsidRPr="00013174" w:rsidRDefault="00005623" w:rsidP="00005623">
            <w:pPr>
              <w:pStyle w:val="NormalWeb"/>
              <w:jc w:val="both"/>
            </w:pPr>
            <w:r w:rsidRPr="00013174">
              <w:t>268</w:t>
            </w:r>
          </w:p>
        </w:tc>
        <w:tc>
          <w:tcPr>
            <w:tcW w:w="0" w:type="auto"/>
            <w:vAlign w:val="center"/>
            <w:hideMark/>
          </w:tcPr>
          <w:p w:rsidR="00005623" w:rsidRPr="00013174" w:rsidRDefault="00005623" w:rsidP="00005623">
            <w:pPr>
              <w:pStyle w:val="NormalWeb"/>
              <w:jc w:val="both"/>
            </w:pPr>
            <w:r w:rsidRPr="00013174">
              <w:t>238</w:t>
            </w:r>
          </w:p>
        </w:tc>
        <w:tc>
          <w:tcPr>
            <w:tcW w:w="0" w:type="auto"/>
            <w:vAlign w:val="center"/>
            <w:hideMark/>
          </w:tcPr>
          <w:p w:rsidR="00005623" w:rsidRPr="00013174" w:rsidRDefault="00005623" w:rsidP="00005623">
            <w:pPr>
              <w:pStyle w:val="NormalWeb"/>
              <w:jc w:val="both"/>
            </w:pPr>
            <w:r w:rsidRPr="00013174">
              <w:t>245</w:t>
            </w:r>
          </w:p>
        </w:tc>
        <w:tc>
          <w:tcPr>
            <w:tcW w:w="0" w:type="auto"/>
            <w:vAlign w:val="center"/>
            <w:hideMark/>
          </w:tcPr>
          <w:p w:rsidR="00005623" w:rsidRPr="00013174" w:rsidRDefault="00005623" w:rsidP="00005623">
            <w:pPr>
              <w:pStyle w:val="NormalWeb"/>
              <w:jc w:val="both"/>
            </w:pPr>
            <w:r w:rsidRPr="00013174">
              <w:t>242</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Total</w:t>
            </w:r>
          </w:p>
        </w:tc>
        <w:tc>
          <w:tcPr>
            <w:tcW w:w="0" w:type="auto"/>
            <w:vAlign w:val="center"/>
            <w:hideMark/>
          </w:tcPr>
          <w:p w:rsidR="00005623" w:rsidRPr="00013174" w:rsidRDefault="00005623" w:rsidP="00005623">
            <w:pPr>
              <w:pStyle w:val="NormalWeb"/>
              <w:jc w:val="both"/>
            </w:pPr>
            <w:r w:rsidRPr="00013174">
              <w:t>1,000</w:t>
            </w:r>
          </w:p>
        </w:tc>
        <w:tc>
          <w:tcPr>
            <w:tcW w:w="0" w:type="auto"/>
            <w:vAlign w:val="center"/>
            <w:hideMark/>
          </w:tcPr>
          <w:p w:rsidR="00005623" w:rsidRPr="00013174" w:rsidRDefault="00005623" w:rsidP="00005623">
            <w:pPr>
              <w:pStyle w:val="NormalWeb"/>
              <w:jc w:val="both"/>
            </w:pPr>
            <w:r w:rsidRPr="00013174">
              <w:t>1,000</w:t>
            </w:r>
          </w:p>
        </w:tc>
        <w:tc>
          <w:tcPr>
            <w:tcW w:w="0" w:type="auto"/>
            <w:vAlign w:val="center"/>
            <w:hideMark/>
          </w:tcPr>
          <w:p w:rsidR="00005623" w:rsidRPr="00013174" w:rsidRDefault="00005623" w:rsidP="00005623">
            <w:pPr>
              <w:pStyle w:val="NormalWeb"/>
              <w:jc w:val="both"/>
            </w:pPr>
            <w:r w:rsidRPr="00013174">
              <w:t>1,000</w:t>
            </w:r>
          </w:p>
        </w:tc>
        <w:tc>
          <w:tcPr>
            <w:tcW w:w="0" w:type="auto"/>
            <w:vAlign w:val="center"/>
            <w:hideMark/>
          </w:tcPr>
          <w:p w:rsidR="00005623" w:rsidRPr="00013174" w:rsidRDefault="00005623" w:rsidP="00005623">
            <w:pPr>
              <w:pStyle w:val="NormalWeb"/>
              <w:jc w:val="both"/>
            </w:pPr>
            <w:r w:rsidRPr="00013174">
              <w:t>1,000</w:t>
            </w:r>
          </w:p>
        </w:tc>
      </w:tr>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bl>
    <w:p w:rsidR="00005623" w:rsidRPr="00013174" w:rsidRDefault="00005623" w:rsidP="00005623">
      <w:pPr>
        <w:jc w:val="both"/>
        <w:rPr>
          <w:rFonts w:ascii="Times New Roman" w:hAnsi="Times New Roman" w:cs="Times New Roman"/>
          <w:sz w:val="24"/>
          <w:szCs w:val="24"/>
        </w:rPr>
      </w:pPr>
      <w:r w:rsidRPr="00013174">
        <w:rPr>
          <w:rFonts w:ascii="Times New Roman" w:hAnsi="Times New Roman" w:cs="Times New Roman"/>
          <w:color w:val="000000"/>
          <w:sz w:val="24"/>
          <w:szCs w:val="24"/>
        </w:rPr>
        <w:br/>
      </w:r>
    </w:p>
    <w:tbl>
      <w:tblPr>
        <w:tblW w:w="6750" w:type="dxa"/>
        <w:tblCellSpacing w:w="0" w:type="dxa"/>
        <w:tblCellMar>
          <w:left w:w="0" w:type="dxa"/>
          <w:right w:w="0" w:type="dxa"/>
        </w:tblCellMar>
        <w:tblLook w:val="04A0" w:firstRow="1" w:lastRow="0" w:firstColumn="1" w:lastColumn="0" w:noHBand="0" w:noVBand="1"/>
      </w:tblPr>
      <w:tblGrid>
        <w:gridCol w:w="2742"/>
        <w:gridCol w:w="694"/>
        <w:gridCol w:w="1207"/>
        <w:gridCol w:w="1207"/>
        <w:gridCol w:w="900"/>
      </w:tblGrid>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pStyle w:val="NormalWeb"/>
              <w:jc w:val="both"/>
            </w:pPr>
            <w:r w:rsidRPr="00013174">
              <w:rPr>
                <w:rStyle w:val="Strong"/>
              </w:rPr>
              <w:t>Table 2. </w:t>
            </w:r>
            <w:r w:rsidRPr="00013174">
              <w:t>Nutrient composition of experimental diets: 20-60 Kg</w:t>
            </w:r>
          </w:p>
        </w:tc>
      </w:tr>
      <w:tr w:rsidR="00005623" w:rsidRPr="00013174" w:rsidTr="00005623">
        <w:trPr>
          <w:tblCellSpacing w:w="0" w:type="dxa"/>
        </w:trPr>
        <w:tc>
          <w:tcPr>
            <w:tcW w:w="2550" w:type="dxa"/>
            <w:vAlign w:val="center"/>
            <w:hideMark/>
          </w:tcPr>
          <w:p w:rsidR="00005623" w:rsidRPr="00013174" w:rsidRDefault="00005623" w:rsidP="00005623">
            <w:pPr>
              <w:pStyle w:val="NormalWeb"/>
              <w:jc w:val="both"/>
            </w:pPr>
            <w:r w:rsidRPr="00013174">
              <w:rPr>
                <w:rStyle w:val="Strong"/>
              </w:rPr>
              <w:t>Weight</w:t>
            </w:r>
          </w:p>
        </w:tc>
        <w:tc>
          <w:tcPr>
            <w:tcW w:w="0" w:type="auto"/>
            <w:vAlign w:val="center"/>
            <w:hideMark/>
          </w:tcPr>
          <w:p w:rsidR="00005623" w:rsidRPr="00013174" w:rsidRDefault="00005623" w:rsidP="00005623">
            <w:pPr>
              <w:pStyle w:val="NormalWeb"/>
              <w:jc w:val="both"/>
            </w:pPr>
            <w:r w:rsidRPr="00013174">
              <w:rPr>
                <w:rStyle w:val="Strong"/>
              </w:rPr>
              <w:t>SBM</w:t>
            </w:r>
          </w:p>
        </w:tc>
        <w:tc>
          <w:tcPr>
            <w:tcW w:w="0" w:type="auto"/>
            <w:vAlign w:val="center"/>
            <w:hideMark/>
          </w:tcPr>
          <w:p w:rsidR="00005623" w:rsidRPr="00013174" w:rsidRDefault="00005623" w:rsidP="00005623">
            <w:pPr>
              <w:pStyle w:val="NormalWeb"/>
              <w:jc w:val="both"/>
            </w:pPr>
            <w:r w:rsidRPr="00013174">
              <w:rPr>
                <w:rStyle w:val="Strong"/>
              </w:rPr>
              <w:t>10% CM</w:t>
            </w:r>
          </w:p>
        </w:tc>
        <w:tc>
          <w:tcPr>
            <w:tcW w:w="0" w:type="auto"/>
            <w:vAlign w:val="center"/>
            <w:hideMark/>
          </w:tcPr>
          <w:p w:rsidR="00005623" w:rsidRPr="00013174" w:rsidRDefault="00005623" w:rsidP="00005623">
            <w:pPr>
              <w:pStyle w:val="NormalWeb"/>
              <w:jc w:val="both"/>
            </w:pPr>
            <w:r w:rsidRPr="00013174">
              <w:rPr>
                <w:rStyle w:val="Strong"/>
              </w:rPr>
              <w:t>20% CM</w:t>
            </w:r>
          </w:p>
        </w:tc>
        <w:tc>
          <w:tcPr>
            <w:tcW w:w="900" w:type="dxa"/>
            <w:vAlign w:val="center"/>
            <w:hideMark/>
          </w:tcPr>
          <w:p w:rsidR="00005623" w:rsidRPr="00013174" w:rsidRDefault="00005623" w:rsidP="00005623">
            <w:pPr>
              <w:pStyle w:val="NormalWeb"/>
              <w:jc w:val="both"/>
            </w:pPr>
            <w:r w:rsidRPr="00013174">
              <w:rPr>
                <w:rStyle w:val="Strong"/>
              </w:rPr>
              <w:t>30% CM</w:t>
            </w:r>
          </w:p>
        </w:tc>
      </w:tr>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Dry matter, %</w:t>
            </w:r>
          </w:p>
        </w:tc>
        <w:tc>
          <w:tcPr>
            <w:tcW w:w="0" w:type="auto"/>
            <w:vAlign w:val="center"/>
            <w:hideMark/>
          </w:tcPr>
          <w:p w:rsidR="00005623" w:rsidRPr="00013174" w:rsidRDefault="00005623" w:rsidP="00005623">
            <w:pPr>
              <w:pStyle w:val="NormalWeb"/>
              <w:jc w:val="both"/>
            </w:pPr>
            <w:r w:rsidRPr="00013174">
              <w:t>88.9</w:t>
            </w:r>
          </w:p>
        </w:tc>
        <w:tc>
          <w:tcPr>
            <w:tcW w:w="0" w:type="auto"/>
            <w:vAlign w:val="center"/>
            <w:hideMark/>
          </w:tcPr>
          <w:p w:rsidR="00005623" w:rsidRPr="00013174" w:rsidRDefault="00005623" w:rsidP="00005623">
            <w:pPr>
              <w:pStyle w:val="NormalWeb"/>
              <w:jc w:val="both"/>
            </w:pPr>
            <w:r w:rsidRPr="00013174">
              <w:t>88.9</w:t>
            </w:r>
          </w:p>
        </w:tc>
        <w:tc>
          <w:tcPr>
            <w:tcW w:w="0" w:type="auto"/>
            <w:vAlign w:val="center"/>
            <w:hideMark/>
          </w:tcPr>
          <w:p w:rsidR="00005623" w:rsidRPr="00013174" w:rsidRDefault="00005623" w:rsidP="00005623">
            <w:pPr>
              <w:pStyle w:val="NormalWeb"/>
              <w:jc w:val="both"/>
            </w:pPr>
            <w:r w:rsidRPr="00013174">
              <w:t>88.5</w:t>
            </w:r>
          </w:p>
        </w:tc>
        <w:tc>
          <w:tcPr>
            <w:tcW w:w="0" w:type="auto"/>
            <w:vAlign w:val="center"/>
            <w:hideMark/>
          </w:tcPr>
          <w:p w:rsidR="00005623" w:rsidRPr="00013174" w:rsidRDefault="00005623" w:rsidP="00005623">
            <w:pPr>
              <w:pStyle w:val="NormalWeb"/>
              <w:jc w:val="both"/>
            </w:pPr>
            <w:r w:rsidRPr="00013174">
              <w:t>88.2</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ME (kcal/kg)</w:t>
            </w:r>
          </w:p>
        </w:tc>
        <w:tc>
          <w:tcPr>
            <w:tcW w:w="0" w:type="auto"/>
            <w:vAlign w:val="center"/>
            <w:hideMark/>
          </w:tcPr>
          <w:p w:rsidR="00005623" w:rsidRPr="00013174" w:rsidRDefault="00005623" w:rsidP="00005623">
            <w:pPr>
              <w:pStyle w:val="NormalWeb"/>
              <w:jc w:val="both"/>
            </w:pPr>
            <w:r w:rsidRPr="00013174">
              <w:t>3,200</w:t>
            </w:r>
          </w:p>
        </w:tc>
        <w:tc>
          <w:tcPr>
            <w:tcW w:w="0" w:type="auto"/>
            <w:vAlign w:val="center"/>
            <w:hideMark/>
          </w:tcPr>
          <w:p w:rsidR="00005623" w:rsidRPr="00013174" w:rsidRDefault="00005623" w:rsidP="00005623">
            <w:pPr>
              <w:pStyle w:val="NormalWeb"/>
              <w:jc w:val="both"/>
            </w:pPr>
            <w:r w:rsidRPr="00013174">
              <w:t>3,200</w:t>
            </w:r>
          </w:p>
        </w:tc>
        <w:tc>
          <w:tcPr>
            <w:tcW w:w="0" w:type="auto"/>
            <w:vAlign w:val="center"/>
            <w:hideMark/>
          </w:tcPr>
          <w:p w:rsidR="00005623" w:rsidRPr="00013174" w:rsidRDefault="00005623" w:rsidP="00005623">
            <w:pPr>
              <w:pStyle w:val="NormalWeb"/>
              <w:jc w:val="both"/>
            </w:pPr>
            <w:r w:rsidRPr="00013174">
              <w:t>3,200</w:t>
            </w:r>
          </w:p>
        </w:tc>
        <w:tc>
          <w:tcPr>
            <w:tcW w:w="0" w:type="auto"/>
            <w:vAlign w:val="center"/>
            <w:hideMark/>
          </w:tcPr>
          <w:p w:rsidR="00005623" w:rsidRPr="00013174" w:rsidRDefault="00005623" w:rsidP="00005623">
            <w:pPr>
              <w:pStyle w:val="NormalWeb"/>
              <w:jc w:val="both"/>
            </w:pPr>
            <w:r w:rsidRPr="00013174">
              <w:t>3,200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Crude protein, %</w:t>
            </w:r>
          </w:p>
        </w:tc>
        <w:tc>
          <w:tcPr>
            <w:tcW w:w="0" w:type="auto"/>
            <w:vAlign w:val="center"/>
            <w:hideMark/>
          </w:tcPr>
          <w:p w:rsidR="00005623" w:rsidRPr="00013174" w:rsidRDefault="00005623" w:rsidP="00005623">
            <w:pPr>
              <w:pStyle w:val="NormalWeb"/>
              <w:jc w:val="both"/>
            </w:pPr>
            <w:r w:rsidRPr="00013174">
              <w:t>17.0</w:t>
            </w:r>
          </w:p>
        </w:tc>
        <w:tc>
          <w:tcPr>
            <w:tcW w:w="0" w:type="auto"/>
            <w:vAlign w:val="center"/>
            <w:hideMark/>
          </w:tcPr>
          <w:p w:rsidR="00005623" w:rsidRPr="00013174" w:rsidRDefault="00005623" w:rsidP="00005623">
            <w:pPr>
              <w:pStyle w:val="NormalWeb"/>
              <w:jc w:val="both"/>
            </w:pPr>
            <w:r w:rsidRPr="00013174">
              <w:t>17.0</w:t>
            </w:r>
          </w:p>
        </w:tc>
        <w:tc>
          <w:tcPr>
            <w:tcW w:w="0" w:type="auto"/>
            <w:vAlign w:val="center"/>
            <w:hideMark/>
          </w:tcPr>
          <w:p w:rsidR="00005623" w:rsidRPr="00013174" w:rsidRDefault="00005623" w:rsidP="00005623">
            <w:pPr>
              <w:pStyle w:val="NormalWeb"/>
              <w:jc w:val="both"/>
            </w:pPr>
            <w:r w:rsidRPr="00013174">
              <w:t>17.0</w:t>
            </w:r>
          </w:p>
        </w:tc>
        <w:tc>
          <w:tcPr>
            <w:tcW w:w="0" w:type="auto"/>
            <w:vAlign w:val="center"/>
            <w:hideMark/>
          </w:tcPr>
          <w:p w:rsidR="00005623" w:rsidRPr="00013174" w:rsidRDefault="00005623" w:rsidP="00005623">
            <w:pPr>
              <w:pStyle w:val="NormalWeb"/>
              <w:jc w:val="both"/>
            </w:pPr>
            <w:r w:rsidRPr="00013174">
              <w:t>17.0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Crude fat, %</w:t>
            </w:r>
          </w:p>
        </w:tc>
        <w:tc>
          <w:tcPr>
            <w:tcW w:w="0" w:type="auto"/>
            <w:vAlign w:val="center"/>
            <w:hideMark/>
          </w:tcPr>
          <w:p w:rsidR="00005623" w:rsidRPr="00013174" w:rsidRDefault="00005623" w:rsidP="00005623">
            <w:pPr>
              <w:pStyle w:val="NormalWeb"/>
              <w:jc w:val="both"/>
            </w:pPr>
            <w:r w:rsidRPr="00013174">
              <w:t>3.56</w:t>
            </w:r>
          </w:p>
        </w:tc>
        <w:tc>
          <w:tcPr>
            <w:tcW w:w="0" w:type="auto"/>
            <w:vAlign w:val="center"/>
            <w:hideMark/>
          </w:tcPr>
          <w:p w:rsidR="00005623" w:rsidRPr="00013174" w:rsidRDefault="00005623" w:rsidP="00005623">
            <w:pPr>
              <w:pStyle w:val="NormalWeb"/>
              <w:jc w:val="both"/>
            </w:pPr>
            <w:r w:rsidRPr="00013174">
              <w:t>3.45</w:t>
            </w:r>
          </w:p>
        </w:tc>
        <w:tc>
          <w:tcPr>
            <w:tcW w:w="0" w:type="auto"/>
            <w:vAlign w:val="center"/>
            <w:hideMark/>
          </w:tcPr>
          <w:p w:rsidR="00005623" w:rsidRPr="00013174" w:rsidRDefault="00005623" w:rsidP="00005623">
            <w:pPr>
              <w:pStyle w:val="NormalWeb"/>
              <w:jc w:val="both"/>
            </w:pPr>
            <w:r w:rsidRPr="00013174">
              <w:t>3.98</w:t>
            </w:r>
          </w:p>
        </w:tc>
        <w:tc>
          <w:tcPr>
            <w:tcW w:w="0" w:type="auto"/>
            <w:vAlign w:val="center"/>
            <w:hideMark/>
          </w:tcPr>
          <w:p w:rsidR="00005623" w:rsidRPr="00013174" w:rsidRDefault="00005623" w:rsidP="00005623">
            <w:pPr>
              <w:pStyle w:val="NormalWeb"/>
              <w:jc w:val="both"/>
            </w:pPr>
            <w:r w:rsidRPr="00013174">
              <w:t>4.64</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Crude fibre, %</w:t>
            </w:r>
          </w:p>
        </w:tc>
        <w:tc>
          <w:tcPr>
            <w:tcW w:w="0" w:type="auto"/>
            <w:vAlign w:val="center"/>
            <w:hideMark/>
          </w:tcPr>
          <w:p w:rsidR="00005623" w:rsidRPr="00013174" w:rsidRDefault="00005623" w:rsidP="00005623">
            <w:pPr>
              <w:pStyle w:val="NormalWeb"/>
              <w:jc w:val="both"/>
            </w:pPr>
            <w:r w:rsidRPr="00013174">
              <w:t>3.01</w:t>
            </w:r>
          </w:p>
        </w:tc>
        <w:tc>
          <w:tcPr>
            <w:tcW w:w="0" w:type="auto"/>
            <w:vAlign w:val="center"/>
            <w:hideMark/>
          </w:tcPr>
          <w:p w:rsidR="00005623" w:rsidRPr="00013174" w:rsidRDefault="00005623" w:rsidP="00005623">
            <w:pPr>
              <w:pStyle w:val="NormalWeb"/>
              <w:jc w:val="both"/>
            </w:pPr>
            <w:r w:rsidRPr="00013174">
              <w:t>3.38</w:t>
            </w:r>
          </w:p>
        </w:tc>
        <w:tc>
          <w:tcPr>
            <w:tcW w:w="0" w:type="auto"/>
            <w:vAlign w:val="center"/>
            <w:hideMark/>
          </w:tcPr>
          <w:p w:rsidR="00005623" w:rsidRPr="00013174" w:rsidRDefault="00005623" w:rsidP="00005623">
            <w:pPr>
              <w:pStyle w:val="NormalWeb"/>
              <w:jc w:val="both"/>
            </w:pPr>
            <w:r w:rsidRPr="00013174">
              <w:t>3.92</w:t>
            </w:r>
          </w:p>
        </w:tc>
        <w:tc>
          <w:tcPr>
            <w:tcW w:w="0" w:type="auto"/>
            <w:vAlign w:val="center"/>
            <w:hideMark/>
          </w:tcPr>
          <w:p w:rsidR="00005623" w:rsidRPr="00013174" w:rsidRDefault="00005623" w:rsidP="00005623">
            <w:pPr>
              <w:pStyle w:val="NormalWeb"/>
              <w:jc w:val="both"/>
            </w:pPr>
            <w:r w:rsidRPr="00013174">
              <w:t>4.45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Ca, %</w:t>
            </w:r>
          </w:p>
        </w:tc>
        <w:tc>
          <w:tcPr>
            <w:tcW w:w="0" w:type="auto"/>
            <w:vAlign w:val="center"/>
            <w:hideMark/>
          </w:tcPr>
          <w:p w:rsidR="00005623" w:rsidRPr="00013174" w:rsidRDefault="00005623" w:rsidP="00005623">
            <w:pPr>
              <w:pStyle w:val="NormalWeb"/>
              <w:jc w:val="both"/>
            </w:pPr>
            <w:r w:rsidRPr="00013174">
              <w:t>0.72</w:t>
            </w:r>
          </w:p>
        </w:tc>
        <w:tc>
          <w:tcPr>
            <w:tcW w:w="0" w:type="auto"/>
            <w:vAlign w:val="center"/>
            <w:hideMark/>
          </w:tcPr>
          <w:p w:rsidR="00005623" w:rsidRPr="00013174" w:rsidRDefault="00005623" w:rsidP="00005623">
            <w:pPr>
              <w:pStyle w:val="NormalWeb"/>
              <w:jc w:val="both"/>
            </w:pPr>
            <w:r w:rsidRPr="00013174">
              <w:t>0.72</w:t>
            </w:r>
          </w:p>
        </w:tc>
        <w:tc>
          <w:tcPr>
            <w:tcW w:w="0" w:type="auto"/>
            <w:vAlign w:val="center"/>
            <w:hideMark/>
          </w:tcPr>
          <w:p w:rsidR="00005623" w:rsidRPr="00013174" w:rsidRDefault="00005623" w:rsidP="00005623">
            <w:pPr>
              <w:pStyle w:val="NormalWeb"/>
              <w:jc w:val="both"/>
            </w:pPr>
            <w:r w:rsidRPr="00013174">
              <w:t>0.72</w:t>
            </w:r>
          </w:p>
        </w:tc>
        <w:tc>
          <w:tcPr>
            <w:tcW w:w="0" w:type="auto"/>
            <w:vAlign w:val="center"/>
            <w:hideMark/>
          </w:tcPr>
          <w:p w:rsidR="00005623" w:rsidRPr="00013174" w:rsidRDefault="00005623" w:rsidP="00005623">
            <w:pPr>
              <w:pStyle w:val="NormalWeb"/>
              <w:jc w:val="both"/>
            </w:pPr>
            <w:r w:rsidRPr="00013174">
              <w:t>0.75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Total P, %</w:t>
            </w:r>
          </w:p>
        </w:tc>
        <w:tc>
          <w:tcPr>
            <w:tcW w:w="0" w:type="auto"/>
            <w:vAlign w:val="center"/>
            <w:hideMark/>
          </w:tcPr>
          <w:p w:rsidR="00005623" w:rsidRPr="00013174" w:rsidRDefault="00005623" w:rsidP="00005623">
            <w:pPr>
              <w:pStyle w:val="NormalWeb"/>
              <w:jc w:val="both"/>
            </w:pPr>
            <w:r w:rsidRPr="00013174">
              <w:t>0.61</w:t>
            </w:r>
          </w:p>
        </w:tc>
        <w:tc>
          <w:tcPr>
            <w:tcW w:w="0" w:type="auto"/>
            <w:vAlign w:val="center"/>
            <w:hideMark/>
          </w:tcPr>
          <w:p w:rsidR="00005623" w:rsidRPr="00013174" w:rsidRDefault="00005623" w:rsidP="00005623">
            <w:pPr>
              <w:pStyle w:val="NormalWeb"/>
              <w:jc w:val="both"/>
            </w:pPr>
            <w:r w:rsidRPr="00013174">
              <w:t>0.62</w:t>
            </w:r>
          </w:p>
        </w:tc>
        <w:tc>
          <w:tcPr>
            <w:tcW w:w="0" w:type="auto"/>
            <w:vAlign w:val="center"/>
            <w:hideMark/>
          </w:tcPr>
          <w:p w:rsidR="00005623" w:rsidRPr="00013174" w:rsidRDefault="00005623" w:rsidP="00005623">
            <w:pPr>
              <w:pStyle w:val="NormalWeb"/>
              <w:jc w:val="both"/>
            </w:pPr>
            <w:r w:rsidRPr="00013174">
              <w:t>0.63</w:t>
            </w:r>
          </w:p>
        </w:tc>
        <w:tc>
          <w:tcPr>
            <w:tcW w:w="0" w:type="auto"/>
            <w:vAlign w:val="center"/>
            <w:hideMark/>
          </w:tcPr>
          <w:p w:rsidR="00005623" w:rsidRPr="00013174" w:rsidRDefault="00005623" w:rsidP="00005623">
            <w:pPr>
              <w:pStyle w:val="NormalWeb"/>
              <w:jc w:val="both"/>
            </w:pPr>
            <w:r w:rsidRPr="00013174">
              <w:t>0.66</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Lysine, %</w:t>
            </w:r>
          </w:p>
        </w:tc>
        <w:tc>
          <w:tcPr>
            <w:tcW w:w="0" w:type="auto"/>
            <w:vAlign w:val="center"/>
            <w:hideMark/>
          </w:tcPr>
          <w:p w:rsidR="00005623" w:rsidRPr="00013174" w:rsidRDefault="00005623" w:rsidP="00005623">
            <w:pPr>
              <w:pStyle w:val="NormalWeb"/>
              <w:jc w:val="both"/>
            </w:pPr>
            <w:r w:rsidRPr="00013174">
              <w:t>0.90</w:t>
            </w:r>
          </w:p>
        </w:tc>
        <w:tc>
          <w:tcPr>
            <w:tcW w:w="0" w:type="auto"/>
            <w:vAlign w:val="center"/>
            <w:hideMark/>
          </w:tcPr>
          <w:p w:rsidR="00005623" w:rsidRPr="00013174" w:rsidRDefault="00005623" w:rsidP="00005623">
            <w:pPr>
              <w:pStyle w:val="NormalWeb"/>
              <w:jc w:val="both"/>
            </w:pPr>
            <w:r w:rsidRPr="00013174">
              <w:t>0.90</w:t>
            </w:r>
          </w:p>
        </w:tc>
        <w:tc>
          <w:tcPr>
            <w:tcW w:w="0" w:type="auto"/>
            <w:vAlign w:val="center"/>
            <w:hideMark/>
          </w:tcPr>
          <w:p w:rsidR="00005623" w:rsidRPr="00013174" w:rsidRDefault="00005623" w:rsidP="00005623">
            <w:pPr>
              <w:pStyle w:val="NormalWeb"/>
              <w:jc w:val="both"/>
            </w:pPr>
            <w:r w:rsidRPr="00013174">
              <w:t>0.90</w:t>
            </w:r>
          </w:p>
        </w:tc>
        <w:tc>
          <w:tcPr>
            <w:tcW w:w="0" w:type="auto"/>
            <w:vAlign w:val="center"/>
            <w:hideMark/>
          </w:tcPr>
          <w:p w:rsidR="00005623" w:rsidRPr="00013174" w:rsidRDefault="00005623" w:rsidP="00005623">
            <w:pPr>
              <w:pStyle w:val="NormalWeb"/>
              <w:jc w:val="both"/>
            </w:pPr>
            <w:r w:rsidRPr="00013174">
              <w:t>0.90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Met + Cystine, %</w:t>
            </w:r>
          </w:p>
        </w:tc>
        <w:tc>
          <w:tcPr>
            <w:tcW w:w="0" w:type="auto"/>
            <w:vAlign w:val="center"/>
            <w:hideMark/>
          </w:tcPr>
          <w:p w:rsidR="00005623" w:rsidRPr="00013174" w:rsidRDefault="00005623" w:rsidP="00005623">
            <w:pPr>
              <w:pStyle w:val="NormalWeb"/>
              <w:jc w:val="both"/>
            </w:pPr>
            <w:r w:rsidRPr="00013174">
              <w:t>0.62</w:t>
            </w:r>
          </w:p>
        </w:tc>
        <w:tc>
          <w:tcPr>
            <w:tcW w:w="0" w:type="auto"/>
            <w:vAlign w:val="center"/>
            <w:hideMark/>
          </w:tcPr>
          <w:p w:rsidR="00005623" w:rsidRPr="00013174" w:rsidRDefault="00005623" w:rsidP="00005623">
            <w:pPr>
              <w:pStyle w:val="NormalWeb"/>
              <w:jc w:val="both"/>
            </w:pPr>
            <w:r w:rsidRPr="00013174">
              <w:t>0.63</w:t>
            </w:r>
          </w:p>
        </w:tc>
        <w:tc>
          <w:tcPr>
            <w:tcW w:w="0" w:type="auto"/>
            <w:vAlign w:val="center"/>
            <w:hideMark/>
          </w:tcPr>
          <w:p w:rsidR="00005623" w:rsidRPr="00013174" w:rsidRDefault="00005623" w:rsidP="00005623">
            <w:pPr>
              <w:pStyle w:val="NormalWeb"/>
              <w:jc w:val="both"/>
            </w:pPr>
            <w:r w:rsidRPr="00013174">
              <w:t>0.63</w:t>
            </w:r>
          </w:p>
        </w:tc>
        <w:tc>
          <w:tcPr>
            <w:tcW w:w="0" w:type="auto"/>
            <w:vAlign w:val="center"/>
            <w:hideMark/>
          </w:tcPr>
          <w:p w:rsidR="00005623" w:rsidRPr="00013174" w:rsidRDefault="00005623" w:rsidP="00005623">
            <w:pPr>
              <w:pStyle w:val="NormalWeb"/>
              <w:jc w:val="both"/>
            </w:pPr>
            <w:r w:rsidRPr="00013174">
              <w:t>0.64</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Threonine, %</w:t>
            </w:r>
          </w:p>
        </w:tc>
        <w:tc>
          <w:tcPr>
            <w:tcW w:w="0" w:type="auto"/>
            <w:vAlign w:val="center"/>
            <w:hideMark/>
          </w:tcPr>
          <w:p w:rsidR="00005623" w:rsidRPr="00013174" w:rsidRDefault="00005623" w:rsidP="00005623">
            <w:pPr>
              <w:pStyle w:val="NormalWeb"/>
              <w:jc w:val="both"/>
            </w:pPr>
            <w:r w:rsidRPr="00013174">
              <w:t>0.64</w:t>
            </w:r>
          </w:p>
        </w:tc>
        <w:tc>
          <w:tcPr>
            <w:tcW w:w="0" w:type="auto"/>
            <w:vAlign w:val="center"/>
            <w:hideMark/>
          </w:tcPr>
          <w:p w:rsidR="00005623" w:rsidRPr="00013174" w:rsidRDefault="00005623" w:rsidP="00005623">
            <w:pPr>
              <w:pStyle w:val="NormalWeb"/>
              <w:jc w:val="both"/>
            </w:pPr>
            <w:r w:rsidRPr="00013174">
              <w:t>0.64</w:t>
            </w:r>
          </w:p>
        </w:tc>
        <w:tc>
          <w:tcPr>
            <w:tcW w:w="0" w:type="auto"/>
            <w:vAlign w:val="center"/>
            <w:hideMark/>
          </w:tcPr>
          <w:p w:rsidR="00005623" w:rsidRPr="00013174" w:rsidRDefault="00005623" w:rsidP="00005623">
            <w:pPr>
              <w:pStyle w:val="NormalWeb"/>
              <w:jc w:val="both"/>
            </w:pPr>
            <w:r w:rsidRPr="00013174">
              <w:t>0.65</w:t>
            </w:r>
          </w:p>
        </w:tc>
        <w:tc>
          <w:tcPr>
            <w:tcW w:w="0" w:type="auto"/>
            <w:vAlign w:val="center"/>
            <w:hideMark/>
          </w:tcPr>
          <w:p w:rsidR="00005623" w:rsidRPr="00013174" w:rsidRDefault="00005623" w:rsidP="00005623">
            <w:pPr>
              <w:pStyle w:val="NormalWeb"/>
              <w:jc w:val="both"/>
            </w:pPr>
            <w:r w:rsidRPr="00013174">
              <w:t>0.65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Tryptophan, %</w:t>
            </w:r>
          </w:p>
        </w:tc>
        <w:tc>
          <w:tcPr>
            <w:tcW w:w="0" w:type="auto"/>
            <w:vAlign w:val="center"/>
            <w:hideMark/>
          </w:tcPr>
          <w:p w:rsidR="00005623" w:rsidRPr="00013174" w:rsidRDefault="00005623" w:rsidP="00005623">
            <w:pPr>
              <w:pStyle w:val="NormalWeb"/>
              <w:jc w:val="both"/>
            </w:pPr>
            <w:r w:rsidRPr="00013174">
              <w:t>0.19</w:t>
            </w:r>
          </w:p>
        </w:tc>
        <w:tc>
          <w:tcPr>
            <w:tcW w:w="0" w:type="auto"/>
            <w:vAlign w:val="center"/>
            <w:hideMark/>
          </w:tcPr>
          <w:p w:rsidR="00005623" w:rsidRPr="00013174" w:rsidRDefault="00005623" w:rsidP="00005623">
            <w:pPr>
              <w:pStyle w:val="NormalWeb"/>
              <w:jc w:val="both"/>
            </w:pPr>
            <w:r w:rsidRPr="00013174">
              <w:t>0.19</w:t>
            </w:r>
          </w:p>
        </w:tc>
        <w:tc>
          <w:tcPr>
            <w:tcW w:w="0" w:type="auto"/>
            <w:vAlign w:val="center"/>
            <w:hideMark/>
          </w:tcPr>
          <w:p w:rsidR="00005623" w:rsidRPr="00013174" w:rsidRDefault="00005623" w:rsidP="00005623">
            <w:pPr>
              <w:pStyle w:val="NormalWeb"/>
              <w:jc w:val="both"/>
            </w:pPr>
            <w:r w:rsidRPr="00013174">
              <w:t>0.19</w:t>
            </w:r>
          </w:p>
        </w:tc>
        <w:tc>
          <w:tcPr>
            <w:tcW w:w="0" w:type="auto"/>
            <w:vAlign w:val="center"/>
            <w:hideMark/>
          </w:tcPr>
          <w:p w:rsidR="00005623" w:rsidRPr="00013174" w:rsidRDefault="00005623" w:rsidP="00005623">
            <w:pPr>
              <w:pStyle w:val="NormalWeb"/>
              <w:jc w:val="both"/>
            </w:pPr>
            <w:r w:rsidRPr="00013174">
              <w:t>0.19</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Salt, %</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0.50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Available P, %</w:t>
            </w:r>
          </w:p>
        </w:tc>
        <w:tc>
          <w:tcPr>
            <w:tcW w:w="0" w:type="auto"/>
            <w:vAlign w:val="center"/>
            <w:hideMark/>
          </w:tcPr>
          <w:p w:rsidR="00005623" w:rsidRPr="00013174" w:rsidRDefault="00005623" w:rsidP="00005623">
            <w:pPr>
              <w:pStyle w:val="NormalWeb"/>
              <w:jc w:val="both"/>
            </w:pPr>
            <w:r w:rsidRPr="00013174">
              <w:t>0.26</w:t>
            </w:r>
          </w:p>
        </w:tc>
        <w:tc>
          <w:tcPr>
            <w:tcW w:w="0" w:type="auto"/>
            <w:vAlign w:val="center"/>
            <w:hideMark/>
          </w:tcPr>
          <w:p w:rsidR="00005623" w:rsidRPr="00013174" w:rsidRDefault="00005623" w:rsidP="00005623">
            <w:pPr>
              <w:pStyle w:val="NormalWeb"/>
              <w:jc w:val="both"/>
            </w:pPr>
            <w:r w:rsidRPr="00013174">
              <w:t>0.26</w:t>
            </w:r>
          </w:p>
        </w:tc>
        <w:tc>
          <w:tcPr>
            <w:tcW w:w="0" w:type="auto"/>
            <w:vAlign w:val="center"/>
            <w:hideMark/>
          </w:tcPr>
          <w:p w:rsidR="00005623" w:rsidRPr="00013174" w:rsidRDefault="00005623" w:rsidP="00005623">
            <w:pPr>
              <w:pStyle w:val="NormalWeb"/>
              <w:jc w:val="both"/>
            </w:pPr>
            <w:r w:rsidRPr="00013174">
              <w:t>0.26</w:t>
            </w:r>
          </w:p>
        </w:tc>
        <w:tc>
          <w:tcPr>
            <w:tcW w:w="0" w:type="auto"/>
            <w:vAlign w:val="center"/>
            <w:hideMark/>
          </w:tcPr>
          <w:p w:rsidR="00005623" w:rsidRPr="00013174" w:rsidRDefault="00005623" w:rsidP="00005623">
            <w:pPr>
              <w:pStyle w:val="NormalWeb"/>
              <w:jc w:val="both"/>
            </w:pPr>
            <w:r w:rsidRPr="00013174">
              <w:t>0.26</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Methionine, %</w:t>
            </w:r>
          </w:p>
        </w:tc>
        <w:tc>
          <w:tcPr>
            <w:tcW w:w="0" w:type="auto"/>
            <w:vAlign w:val="center"/>
            <w:hideMark/>
          </w:tcPr>
          <w:p w:rsidR="00005623" w:rsidRPr="00013174" w:rsidRDefault="00005623" w:rsidP="00005623">
            <w:pPr>
              <w:pStyle w:val="NormalWeb"/>
              <w:jc w:val="both"/>
            </w:pPr>
            <w:r w:rsidRPr="00013174">
              <w:t>0.26</w:t>
            </w:r>
          </w:p>
        </w:tc>
        <w:tc>
          <w:tcPr>
            <w:tcW w:w="0" w:type="auto"/>
            <w:vAlign w:val="center"/>
            <w:hideMark/>
          </w:tcPr>
          <w:p w:rsidR="00005623" w:rsidRPr="00013174" w:rsidRDefault="00005623" w:rsidP="00005623">
            <w:pPr>
              <w:pStyle w:val="NormalWeb"/>
              <w:jc w:val="both"/>
            </w:pPr>
            <w:r w:rsidRPr="00013174">
              <w:t>0.26</w:t>
            </w:r>
          </w:p>
        </w:tc>
        <w:tc>
          <w:tcPr>
            <w:tcW w:w="0" w:type="auto"/>
            <w:vAlign w:val="center"/>
            <w:hideMark/>
          </w:tcPr>
          <w:p w:rsidR="00005623" w:rsidRPr="00013174" w:rsidRDefault="00005623" w:rsidP="00005623">
            <w:pPr>
              <w:pStyle w:val="NormalWeb"/>
              <w:jc w:val="both"/>
            </w:pPr>
            <w:r w:rsidRPr="00013174">
              <w:t>0.26</w:t>
            </w:r>
          </w:p>
        </w:tc>
        <w:tc>
          <w:tcPr>
            <w:tcW w:w="0" w:type="auto"/>
            <w:vAlign w:val="center"/>
            <w:hideMark/>
          </w:tcPr>
          <w:p w:rsidR="00005623" w:rsidRPr="00013174" w:rsidRDefault="00005623" w:rsidP="00005623">
            <w:pPr>
              <w:pStyle w:val="NormalWeb"/>
              <w:jc w:val="both"/>
            </w:pPr>
            <w:r w:rsidRPr="00013174">
              <w:t>0.26</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Digestible Lysine, %</w:t>
            </w:r>
          </w:p>
        </w:tc>
        <w:tc>
          <w:tcPr>
            <w:tcW w:w="0" w:type="auto"/>
            <w:vAlign w:val="center"/>
            <w:hideMark/>
          </w:tcPr>
          <w:p w:rsidR="00005623" w:rsidRPr="00013174" w:rsidRDefault="00005623" w:rsidP="00005623">
            <w:pPr>
              <w:pStyle w:val="NormalWeb"/>
              <w:jc w:val="both"/>
            </w:pPr>
            <w:r w:rsidRPr="00013174">
              <w:t>0.60</w:t>
            </w:r>
          </w:p>
        </w:tc>
        <w:tc>
          <w:tcPr>
            <w:tcW w:w="0" w:type="auto"/>
            <w:vAlign w:val="center"/>
            <w:hideMark/>
          </w:tcPr>
          <w:p w:rsidR="00005623" w:rsidRPr="00013174" w:rsidRDefault="00005623" w:rsidP="00005623">
            <w:pPr>
              <w:pStyle w:val="NormalWeb"/>
              <w:jc w:val="both"/>
            </w:pPr>
            <w:r w:rsidRPr="00013174">
              <w:t>0.63</w:t>
            </w:r>
          </w:p>
        </w:tc>
        <w:tc>
          <w:tcPr>
            <w:tcW w:w="0" w:type="auto"/>
            <w:vAlign w:val="center"/>
            <w:hideMark/>
          </w:tcPr>
          <w:p w:rsidR="00005623" w:rsidRPr="00013174" w:rsidRDefault="00005623" w:rsidP="00005623">
            <w:pPr>
              <w:pStyle w:val="NormalWeb"/>
              <w:jc w:val="both"/>
            </w:pPr>
            <w:r w:rsidRPr="00013174">
              <w:t>0.66</w:t>
            </w:r>
          </w:p>
        </w:tc>
        <w:tc>
          <w:tcPr>
            <w:tcW w:w="0" w:type="auto"/>
            <w:vAlign w:val="center"/>
            <w:hideMark/>
          </w:tcPr>
          <w:p w:rsidR="00005623" w:rsidRPr="00013174" w:rsidRDefault="00005623" w:rsidP="00005623">
            <w:pPr>
              <w:pStyle w:val="NormalWeb"/>
              <w:jc w:val="both"/>
            </w:pPr>
            <w:r w:rsidRPr="00013174">
              <w:t>0.69</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Digestible Methionine, %</w:t>
            </w:r>
          </w:p>
        </w:tc>
        <w:tc>
          <w:tcPr>
            <w:tcW w:w="0" w:type="auto"/>
            <w:vAlign w:val="center"/>
            <w:hideMark/>
          </w:tcPr>
          <w:p w:rsidR="00005623" w:rsidRPr="00013174" w:rsidRDefault="00005623" w:rsidP="00005623">
            <w:pPr>
              <w:pStyle w:val="NormalWeb"/>
              <w:jc w:val="both"/>
            </w:pPr>
            <w:r w:rsidRPr="00013174">
              <w:t>0.21</w:t>
            </w:r>
          </w:p>
        </w:tc>
        <w:tc>
          <w:tcPr>
            <w:tcW w:w="0" w:type="auto"/>
            <w:vAlign w:val="center"/>
            <w:hideMark/>
          </w:tcPr>
          <w:p w:rsidR="00005623" w:rsidRPr="00013174" w:rsidRDefault="00005623" w:rsidP="00005623">
            <w:pPr>
              <w:pStyle w:val="NormalWeb"/>
              <w:jc w:val="both"/>
            </w:pPr>
            <w:r w:rsidRPr="00013174">
              <w:t>0.21</w:t>
            </w:r>
          </w:p>
        </w:tc>
        <w:tc>
          <w:tcPr>
            <w:tcW w:w="0" w:type="auto"/>
            <w:vAlign w:val="center"/>
            <w:hideMark/>
          </w:tcPr>
          <w:p w:rsidR="00005623" w:rsidRPr="00013174" w:rsidRDefault="00005623" w:rsidP="00005623">
            <w:pPr>
              <w:pStyle w:val="NormalWeb"/>
              <w:jc w:val="both"/>
            </w:pPr>
            <w:r w:rsidRPr="00013174">
              <w:t>0.21</w:t>
            </w:r>
          </w:p>
        </w:tc>
        <w:tc>
          <w:tcPr>
            <w:tcW w:w="0" w:type="auto"/>
            <w:vAlign w:val="center"/>
            <w:hideMark/>
          </w:tcPr>
          <w:p w:rsidR="00005623" w:rsidRPr="00013174" w:rsidRDefault="00005623" w:rsidP="00005623">
            <w:pPr>
              <w:pStyle w:val="NormalWeb"/>
              <w:jc w:val="both"/>
            </w:pPr>
            <w:r w:rsidRPr="00013174">
              <w:t>0.22</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Digestible Met + Cystine, %</w:t>
            </w:r>
          </w:p>
        </w:tc>
        <w:tc>
          <w:tcPr>
            <w:tcW w:w="0" w:type="auto"/>
            <w:vAlign w:val="center"/>
            <w:hideMark/>
          </w:tcPr>
          <w:p w:rsidR="00005623" w:rsidRPr="00013174" w:rsidRDefault="00005623" w:rsidP="00005623">
            <w:pPr>
              <w:pStyle w:val="NormalWeb"/>
              <w:jc w:val="both"/>
            </w:pPr>
            <w:r w:rsidRPr="00013174">
              <w:t>0.48</w:t>
            </w:r>
          </w:p>
        </w:tc>
        <w:tc>
          <w:tcPr>
            <w:tcW w:w="0" w:type="auto"/>
            <w:vAlign w:val="center"/>
            <w:hideMark/>
          </w:tcPr>
          <w:p w:rsidR="00005623" w:rsidRPr="00013174" w:rsidRDefault="00005623" w:rsidP="00005623">
            <w:pPr>
              <w:pStyle w:val="NormalWeb"/>
              <w:jc w:val="both"/>
            </w:pPr>
            <w:r w:rsidRPr="00013174">
              <w:t>0.48</w:t>
            </w:r>
          </w:p>
        </w:tc>
        <w:tc>
          <w:tcPr>
            <w:tcW w:w="0" w:type="auto"/>
            <w:vAlign w:val="center"/>
            <w:hideMark/>
          </w:tcPr>
          <w:p w:rsidR="00005623" w:rsidRPr="00013174" w:rsidRDefault="00005623" w:rsidP="00005623">
            <w:pPr>
              <w:pStyle w:val="NormalWeb"/>
              <w:jc w:val="both"/>
            </w:pPr>
            <w:r w:rsidRPr="00013174">
              <w:t>0.49</w:t>
            </w:r>
          </w:p>
        </w:tc>
        <w:tc>
          <w:tcPr>
            <w:tcW w:w="0" w:type="auto"/>
            <w:vAlign w:val="center"/>
            <w:hideMark/>
          </w:tcPr>
          <w:p w:rsidR="00005623" w:rsidRPr="00013174" w:rsidRDefault="00005623" w:rsidP="00005623">
            <w:pPr>
              <w:pStyle w:val="NormalWeb"/>
              <w:jc w:val="both"/>
            </w:pPr>
            <w:r w:rsidRPr="00013174">
              <w:t>0.49</w:t>
            </w:r>
          </w:p>
        </w:tc>
      </w:tr>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bl>
    <w:p w:rsidR="00005623" w:rsidRDefault="00005623" w:rsidP="00005623">
      <w:pPr>
        <w:jc w:val="both"/>
        <w:rPr>
          <w:rFonts w:ascii="Times New Roman" w:hAnsi="Times New Roman" w:cs="Times New Roman"/>
          <w:sz w:val="24"/>
          <w:szCs w:val="24"/>
        </w:rPr>
      </w:pPr>
      <w:r w:rsidRPr="00013174">
        <w:rPr>
          <w:rFonts w:ascii="Times New Roman" w:hAnsi="Times New Roman" w:cs="Times New Roman"/>
          <w:color w:val="000000"/>
          <w:sz w:val="24"/>
          <w:szCs w:val="24"/>
        </w:rPr>
        <w:br/>
      </w:r>
    </w:p>
    <w:p w:rsidR="00013174" w:rsidRDefault="00013174" w:rsidP="00005623">
      <w:pPr>
        <w:jc w:val="both"/>
        <w:rPr>
          <w:rFonts w:ascii="Times New Roman" w:hAnsi="Times New Roman" w:cs="Times New Roman"/>
          <w:sz w:val="24"/>
          <w:szCs w:val="24"/>
        </w:rPr>
      </w:pPr>
    </w:p>
    <w:p w:rsidR="00013174" w:rsidRDefault="00013174" w:rsidP="00005623">
      <w:pPr>
        <w:jc w:val="both"/>
        <w:rPr>
          <w:rFonts w:ascii="Times New Roman" w:hAnsi="Times New Roman" w:cs="Times New Roman"/>
          <w:sz w:val="24"/>
          <w:szCs w:val="24"/>
        </w:rPr>
      </w:pPr>
    </w:p>
    <w:p w:rsidR="00013174" w:rsidRPr="00013174" w:rsidRDefault="00013174" w:rsidP="00005623">
      <w:pPr>
        <w:jc w:val="both"/>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111"/>
        <w:gridCol w:w="831"/>
        <w:gridCol w:w="1499"/>
        <w:gridCol w:w="1786"/>
        <w:gridCol w:w="1499"/>
        <w:gridCol w:w="6"/>
      </w:tblGrid>
      <w:tr w:rsidR="00005623" w:rsidRPr="00013174" w:rsidTr="00005623">
        <w:trPr>
          <w:gridAfter w:val="1"/>
          <w:tblCellSpacing w:w="0" w:type="dxa"/>
        </w:trPr>
        <w:tc>
          <w:tcPr>
            <w:tcW w:w="0" w:type="auto"/>
            <w:gridSpan w:val="5"/>
            <w:tcBorders>
              <w:bottom w:val="single" w:sz="8" w:space="0" w:color="auto"/>
            </w:tcBorders>
            <w:vAlign w:val="center"/>
            <w:hideMark/>
          </w:tcPr>
          <w:p w:rsidR="00005623" w:rsidRPr="00013174" w:rsidRDefault="00005623" w:rsidP="00005623">
            <w:pPr>
              <w:pStyle w:val="NormalWeb"/>
              <w:jc w:val="both"/>
            </w:pPr>
            <w:r w:rsidRPr="00013174">
              <w:rPr>
                <w:rStyle w:val="Strong"/>
              </w:rPr>
              <w:lastRenderedPageBreak/>
              <w:t>Table 3.</w:t>
            </w:r>
            <w:r w:rsidRPr="00013174">
              <w:t> Experimental diets of pigs in grower stage of 60-100 kg of body weight (unit: kg)</w:t>
            </w:r>
          </w:p>
        </w:tc>
      </w:tr>
      <w:tr w:rsidR="00005623" w:rsidRPr="00013174" w:rsidTr="00005623">
        <w:trPr>
          <w:gridAfter w:val="1"/>
          <w:tblCellSpacing w:w="0" w:type="dxa"/>
        </w:trPr>
        <w:tc>
          <w:tcPr>
            <w:tcW w:w="0" w:type="auto"/>
            <w:vAlign w:val="center"/>
            <w:hideMark/>
          </w:tcPr>
          <w:p w:rsidR="00005623" w:rsidRPr="00013174" w:rsidRDefault="00005623" w:rsidP="00005623">
            <w:pPr>
              <w:jc w:val="both"/>
              <w:rPr>
                <w:rFonts w:ascii="Times New Roman" w:hAnsi="Times New Roman" w:cs="Times New Roman"/>
                <w:sz w:val="24"/>
                <w:szCs w:val="24"/>
              </w:rPr>
            </w:pPr>
          </w:p>
        </w:tc>
        <w:tc>
          <w:tcPr>
            <w:tcW w:w="0" w:type="auto"/>
            <w:gridSpan w:val="4"/>
            <w:tcBorders>
              <w:bottom w:val="single" w:sz="8" w:space="0" w:color="auto"/>
            </w:tcBorders>
            <w:vAlign w:val="center"/>
            <w:hideMark/>
          </w:tcPr>
          <w:p w:rsidR="00005623" w:rsidRPr="00013174" w:rsidRDefault="00005623" w:rsidP="00005623">
            <w:pPr>
              <w:pStyle w:val="NormalWeb"/>
              <w:jc w:val="both"/>
            </w:pPr>
            <w:r w:rsidRPr="00013174">
              <w:rPr>
                <w:rStyle w:val="Strong"/>
              </w:rPr>
              <w:t>Experimental Diets</w:t>
            </w:r>
          </w:p>
        </w:tc>
      </w:tr>
      <w:tr w:rsidR="00005623" w:rsidRPr="00013174" w:rsidTr="00005623">
        <w:trPr>
          <w:gridAfter w:val="1"/>
          <w:tblCellSpacing w:w="0" w:type="dxa"/>
        </w:trPr>
        <w:tc>
          <w:tcPr>
            <w:tcW w:w="1950" w:type="dxa"/>
            <w:vAlign w:val="center"/>
            <w:hideMark/>
          </w:tcPr>
          <w:p w:rsidR="00005623" w:rsidRPr="00013174" w:rsidRDefault="00005623" w:rsidP="00005623">
            <w:pPr>
              <w:jc w:val="both"/>
              <w:rPr>
                <w:rFonts w:ascii="Times New Roman" w:hAnsi="Times New Roman" w:cs="Times New Roman"/>
                <w:sz w:val="24"/>
                <w:szCs w:val="24"/>
              </w:rPr>
            </w:pPr>
          </w:p>
        </w:tc>
        <w:tc>
          <w:tcPr>
            <w:tcW w:w="0" w:type="auto"/>
            <w:vAlign w:val="center"/>
            <w:hideMark/>
          </w:tcPr>
          <w:p w:rsidR="00005623" w:rsidRPr="00013174" w:rsidRDefault="00005623" w:rsidP="00005623">
            <w:pPr>
              <w:pStyle w:val="NormalWeb"/>
              <w:jc w:val="both"/>
            </w:pPr>
            <w:r w:rsidRPr="00013174">
              <w:rPr>
                <w:rStyle w:val="Strong"/>
              </w:rPr>
              <w:t>SBM</w:t>
            </w:r>
          </w:p>
        </w:tc>
        <w:tc>
          <w:tcPr>
            <w:tcW w:w="0" w:type="auto"/>
            <w:vAlign w:val="center"/>
            <w:hideMark/>
          </w:tcPr>
          <w:p w:rsidR="00005623" w:rsidRPr="00013174" w:rsidRDefault="00005623" w:rsidP="00005623">
            <w:pPr>
              <w:pStyle w:val="NormalWeb"/>
              <w:jc w:val="both"/>
            </w:pPr>
            <w:r w:rsidRPr="00013174">
              <w:rPr>
                <w:rStyle w:val="Strong"/>
              </w:rPr>
              <w:t>10% CM</w:t>
            </w:r>
          </w:p>
        </w:tc>
        <w:tc>
          <w:tcPr>
            <w:tcW w:w="0" w:type="auto"/>
            <w:vAlign w:val="center"/>
            <w:hideMark/>
          </w:tcPr>
          <w:p w:rsidR="00005623" w:rsidRPr="00013174" w:rsidRDefault="00005623" w:rsidP="00005623">
            <w:pPr>
              <w:pStyle w:val="NormalWeb"/>
              <w:jc w:val="both"/>
            </w:pPr>
            <w:r w:rsidRPr="00013174">
              <w:rPr>
                <w:rStyle w:val="Strong"/>
              </w:rPr>
              <w:t>17.5% CM</w:t>
            </w:r>
          </w:p>
        </w:tc>
        <w:tc>
          <w:tcPr>
            <w:tcW w:w="0" w:type="auto"/>
            <w:vAlign w:val="center"/>
            <w:hideMark/>
          </w:tcPr>
          <w:p w:rsidR="00005623" w:rsidRPr="00013174" w:rsidRDefault="00005623" w:rsidP="00005623">
            <w:pPr>
              <w:pStyle w:val="NormalWeb"/>
              <w:jc w:val="both"/>
            </w:pPr>
            <w:r w:rsidRPr="00013174">
              <w:rPr>
                <w:rStyle w:val="Strong"/>
              </w:rPr>
              <w:t>25% CM</w:t>
            </w:r>
          </w:p>
        </w:tc>
      </w:tr>
      <w:tr w:rsidR="00005623" w:rsidRPr="00013174" w:rsidTr="00005623">
        <w:trPr>
          <w:tblCellSpacing w:w="0" w:type="dxa"/>
        </w:trPr>
        <w:tc>
          <w:tcPr>
            <w:tcW w:w="0" w:type="auto"/>
            <w:gridSpan w:val="6"/>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Soybean Meal</w:t>
            </w:r>
          </w:p>
        </w:tc>
        <w:tc>
          <w:tcPr>
            <w:tcW w:w="0" w:type="auto"/>
            <w:vAlign w:val="center"/>
            <w:hideMark/>
          </w:tcPr>
          <w:p w:rsidR="00005623" w:rsidRPr="00013174" w:rsidRDefault="00005623" w:rsidP="00005623">
            <w:pPr>
              <w:pStyle w:val="NormalWeb"/>
              <w:jc w:val="both"/>
            </w:pPr>
            <w:r w:rsidRPr="00013174">
              <w:t>154</w:t>
            </w:r>
          </w:p>
        </w:tc>
        <w:tc>
          <w:tcPr>
            <w:tcW w:w="0" w:type="auto"/>
            <w:vAlign w:val="center"/>
            <w:hideMark/>
          </w:tcPr>
          <w:p w:rsidR="00005623" w:rsidRPr="00013174" w:rsidRDefault="00005623" w:rsidP="00005623">
            <w:pPr>
              <w:pStyle w:val="NormalWeb"/>
              <w:jc w:val="both"/>
            </w:pPr>
            <w:r w:rsidRPr="00013174">
              <w:t>82</w:t>
            </w:r>
          </w:p>
        </w:tc>
        <w:tc>
          <w:tcPr>
            <w:tcW w:w="0" w:type="auto"/>
            <w:vAlign w:val="center"/>
            <w:hideMark/>
          </w:tcPr>
          <w:p w:rsidR="00005623" w:rsidRPr="00013174" w:rsidRDefault="00005623" w:rsidP="00005623">
            <w:pPr>
              <w:pStyle w:val="NormalWeb"/>
              <w:jc w:val="both"/>
            </w:pPr>
            <w:r w:rsidRPr="00013174">
              <w:t>27</w:t>
            </w:r>
          </w:p>
        </w:tc>
        <w:tc>
          <w:tcPr>
            <w:tcW w:w="0" w:type="auto"/>
            <w:vAlign w:val="center"/>
            <w:hideMark/>
          </w:tcPr>
          <w:p w:rsidR="00005623" w:rsidRPr="00013174" w:rsidRDefault="00005623" w:rsidP="00005623">
            <w:pPr>
              <w:pStyle w:val="NormalWeb"/>
              <w:jc w:val="both"/>
            </w:pPr>
            <w:r w:rsidRPr="00013174">
              <w:t>0</w:t>
            </w:r>
          </w:p>
        </w:tc>
        <w:tc>
          <w:tcPr>
            <w:tcW w:w="0" w:type="auto"/>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Canola Meal</w:t>
            </w:r>
          </w:p>
        </w:tc>
        <w:tc>
          <w:tcPr>
            <w:tcW w:w="0" w:type="auto"/>
            <w:vAlign w:val="center"/>
            <w:hideMark/>
          </w:tcPr>
          <w:p w:rsidR="00005623" w:rsidRPr="00013174" w:rsidRDefault="00005623" w:rsidP="00005623">
            <w:pPr>
              <w:pStyle w:val="NormalWeb"/>
              <w:jc w:val="both"/>
            </w:pPr>
            <w:r w:rsidRPr="00013174">
              <w:t>0</w:t>
            </w:r>
          </w:p>
        </w:tc>
        <w:tc>
          <w:tcPr>
            <w:tcW w:w="0" w:type="auto"/>
            <w:vAlign w:val="center"/>
            <w:hideMark/>
          </w:tcPr>
          <w:p w:rsidR="00005623" w:rsidRPr="00013174" w:rsidRDefault="00005623" w:rsidP="00005623">
            <w:pPr>
              <w:pStyle w:val="NormalWeb"/>
              <w:jc w:val="both"/>
            </w:pPr>
            <w:r w:rsidRPr="00013174">
              <w:t>100</w:t>
            </w:r>
          </w:p>
        </w:tc>
        <w:tc>
          <w:tcPr>
            <w:tcW w:w="0" w:type="auto"/>
            <w:vAlign w:val="center"/>
            <w:hideMark/>
          </w:tcPr>
          <w:p w:rsidR="00005623" w:rsidRPr="00013174" w:rsidRDefault="00005623" w:rsidP="00005623">
            <w:pPr>
              <w:pStyle w:val="NormalWeb"/>
              <w:jc w:val="both"/>
            </w:pPr>
            <w:r w:rsidRPr="00013174">
              <w:t>175</w:t>
            </w:r>
          </w:p>
        </w:tc>
        <w:tc>
          <w:tcPr>
            <w:tcW w:w="0" w:type="auto"/>
            <w:vAlign w:val="center"/>
            <w:hideMark/>
          </w:tcPr>
          <w:p w:rsidR="00005623" w:rsidRPr="00013174" w:rsidRDefault="00005623" w:rsidP="00005623">
            <w:pPr>
              <w:pStyle w:val="NormalWeb"/>
              <w:jc w:val="both"/>
            </w:pPr>
            <w:r w:rsidRPr="00013174">
              <w:t>250</w:t>
            </w:r>
          </w:p>
        </w:tc>
        <w:tc>
          <w:tcPr>
            <w:tcW w:w="0" w:type="auto"/>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Maize</w:t>
            </w:r>
          </w:p>
        </w:tc>
        <w:tc>
          <w:tcPr>
            <w:tcW w:w="0" w:type="auto"/>
            <w:vAlign w:val="center"/>
            <w:hideMark/>
          </w:tcPr>
          <w:p w:rsidR="00005623" w:rsidRPr="00013174" w:rsidRDefault="00005623" w:rsidP="00005623">
            <w:pPr>
              <w:pStyle w:val="NormalWeb"/>
              <w:jc w:val="both"/>
            </w:pPr>
            <w:r w:rsidRPr="00013174">
              <w:t>581</w:t>
            </w:r>
          </w:p>
        </w:tc>
        <w:tc>
          <w:tcPr>
            <w:tcW w:w="0" w:type="auto"/>
            <w:vAlign w:val="center"/>
            <w:hideMark/>
          </w:tcPr>
          <w:p w:rsidR="00005623" w:rsidRPr="00013174" w:rsidRDefault="00005623" w:rsidP="00005623">
            <w:pPr>
              <w:pStyle w:val="NormalWeb"/>
              <w:jc w:val="both"/>
            </w:pPr>
            <w:r w:rsidRPr="00013174">
              <w:t>579</w:t>
            </w:r>
          </w:p>
        </w:tc>
        <w:tc>
          <w:tcPr>
            <w:tcW w:w="0" w:type="auto"/>
            <w:vAlign w:val="center"/>
            <w:hideMark/>
          </w:tcPr>
          <w:p w:rsidR="00005623" w:rsidRPr="00013174" w:rsidRDefault="00005623" w:rsidP="00005623">
            <w:pPr>
              <w:pStyle w:val="NormalWeb"/>
              <w:jc w:val="both"/>
            </w:pPr>
            <w:r w:rsidRPr="00013174">
              <w:t>555</w:t>
            </w:r>
          </w:p>
        </w:tc>
        <w:tc>
          <w:tcPr>
            <w:tcW w:w="0" w:type="auto"/>
            <w:vAlign w:val="center"/>
            <w:hideMark/>
          </w:tcPr>
          <w:p w:rsidR="00005623" w:rsidRPr="00013174" w:rsidRDefault="00005623" w:rsidP="00005623">
            <w:pPr>
              <w:pStyle w:val="NormalWeb"/>
              <w:jc w:val="both"/>
            </w:pPr>
            <w:r w:rsidRPr="00013174">
              <w:t>500</w:t>
            </w:r>
          </w:p>
        </w:tc>
        <w:tc>
          <w:tcPr>
            <w:tcW w:w="0" w:type="auto"/>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L-Lysine</w:t>
            </w:r>
          </w:p>
        </w:tc>
        <w:tc>
          <w:tcPr>
            <w:tcW w:w="0" w:type="auto"/>
            <w:vAlign w:val="center"/>
            <w:hideMark/>
          </w:tcPr>
          <w:p w:rsidR="00005623" w:rsidRPr="00013174" w:rsidRDefault="00005623" w:rsidP="00005623">
            <w:pPr>
              <w:pStyle w:val="NormalWeb"/>
              <w:jc w:val="both"/>
            </w:pPr>
            <w:r w:rsidRPr="00013174">
              <w:t>0.20</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0.75</w:t>
            </w:r>
          </w:p>
        </w:tc>
        <w:tc>
          <w:tcPr>
            <w:tcW w:w="0" w:type="auto"/>
            <w:vAlign w:val="center"/>
            <w:hideMark/>
          </w:tcPr>
          <w:p w:rsidR="00005623" w:rsidRPr="00013174" w:rsidRDefault="00005623" w:rsidP="00005623">
            <w:pPr>
              <w:pStyle w:val="NormalWeb"/>
              <w:jc w:val="both"/>
            </w:pPr>
            <w:r w:rsidRPr="00013174">
              <w:t>0.92</w:t>
            </w:r>
          </w:p>
        </w:tc>
        <w:tc>
          <w:tcPr>
            <w:tcW w:w="0" w:type="auto"/>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Other ingredients</w:t>
            </w:r>
          </w:p>
        </w:tc>
        <w:tc>
          <w:tcPr>
            <w:tcW w:w="0" w:type="auto"/>
            <w:vAlign w:val="center"/>
            <w:hideMark/>
          </w:tcPr>
          <w:p w:rsidR="00005623" w:rsidRPr="00013174" w:rsidRDefault="00005623" w:rsidP="00005623">
            <w:pPr>
              <w:pStyle w:val="NormalWeb"/>
              <w:jc w:val="both"/>
            </w:pPr>
            <w:r w:rsidRPr="00013174">
              <w:t>265</w:t>
            </w:r>
          </w:p>
        </w:tc>
        <w:tc>
          <w:tcPr>
            <w:tcW w:w="0" w:type="auto"/>
            <w:vAlign w:val="center"/>
            <w:hideMark/>
          </w:tcPr>
          <w:p w:rsidR="00005623" w:rsidRPr="00013174" w:rsidRDefault="00005623" w:rsidP="00005623">
            <w:pPr>
              <w:pStyle w:val="NormalWeb"/>
              <w:jc w:val="both"/>
            </w:pPr>
            <w:r w:rsidRPr="00013174">
              <w:t>239</w:t>
            </w:r>
          </w:p>
        </w:tc>
        <w:tc>
          <w:tcPr>
            <w:tcW w:w="0" w:type="auto"/>
            <w:vAlign w:val="center"/>
            <w:hideMark/>
          </w:tcPr>
          <w:p w:rsidR="00005623" w:rsidRPr="00013174" w:rsidRDefault="00005623" w:rsidP="00005623">
            <w:pPr>
              <w:pStyle w:val="NormalWeb"/>
              <w:jc w:val="both"/>
            </w:pPr>
            <w:r w:rsidRPr="00013174">
              <w:t>242</w:t>
            </w:r>
          </w:p>
        </w:tc>
        <w:tc>
          <w:tcPr>
            <w:tcW w:w="0" w:type="auto"/>
            <w:vAlign w:val="center"/>
            <w:hideMark/>
          </w:tcPr>
          <w:p w:rsidR="00005623" w:rsidRPr="00013174" w:rsidRDefault="00005623" w:rsidP="00005623">
            <w:pPr>
              <w:pStyle w:val="NormalWeb"/>
              <w:jc w:val="both"/>
            </w:pPr>
            <w:r w:rsidRPr="00013174">
              <w:t>249</w:t>
            </w:r>
          </w:p>
        </w:tc>
        <w:tc>
          <w:tcPr>
            <w:tcW w:w="0" w:type="auto"/>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c>
          <w:tcPr>
            <w:tcW w:w="0" w:type="auto"/>
            <w:vAlign w:val="center"/>
            <w:hideMark/>
          </w:tcPr>
          <w:p w:rsidR="00005623" w:rsidRPr="00013174" w:rsidRDefault="00005623" w:rsidP="00005623">
            <w:pPr>
              <w:jc w:val="both"/>
              <w:rPr>
                <w:rFonts w:ascii="Times New Roman" w:hAnsi="Times New Roman" w:cs="Times New Roman"/>
                <w:sz w:val="24"/>
                <w:szCs w:val="24"/>
              </w:rPr>
            </w:pPr>
          </w:p>
        </w:tc>
      </w:tr>
    </w:tbl>
    <w:p w:rsidR="00005623" w:rsidRPr="00013174" w:rsidRDefault="00005623" w:rsidP="00005623">
      <w:pPr>
        <w:jc w:val="both"/>
        <w:rPr>
          <w:rFonts w:ascii="Times New Roman" w:hAnsi="Times New Roman" w:cs="Times New Roman"/>
          <w:sz w:val="24"/>
          <w:szCs w:val="24"/>
        </w:rPr>
      </w:pPr>
      <w:r w:rsidRPr="00013174">
        <w:rPr>
          <w:rFonts w:ascii="Times New Roman" w:hAnsi="Times New Roman" w:cs="Times New Roman"/>
          <w:color w:val="000000"/>
          <w:sz w:val="24"/>
          <w:szCs w:val="24"/>
        </w:rPr>
        <w:br/>
      </w:r>
    </w:p>
    <w:tbl>
      <w:tblPr>
        <w:tblW w:w="6750" w:type="dxa"/>
        <w:tblCellSpacing w:w="0" w:type="dxa"/>
        <w:tblCellMar>
          <w:left w:w="0" w:type="dxa"/>
          <w:right w:w="0" w:type="dxa"/>
        </w:tblCellMar>
        <w:tblLook w:val="04A0" w:firstRow="1" w:lastRow="0" w:firstColumn="1" w:lastColumn="0" w:noHBand="0" w:noVBand="1"/>
      </w:tblPr>
      <w:tblGrid>
        <w:gridCol w:w="2591"/>
        <w:gridCol w:w="684"/>
        <w:gridCol w:w="1191"/>
        <w:gridCol w:w="1420"/>
        <w:gridCol w:w="864"/>
      </w:tblGrid>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pStyle w:val="NormalWeb"/>
              <w:jc w:val="both"/>
            </w:pPr>
            <w:r w:rsidRPr="00013174">
              <w:rPr>
                <w:rStyle w:val="Strong"/>
              </w:rPr>
              <w:t>Table 4.</w:t>
            </w:r>
            <w:r w:rsidRPr="00013174">
              <w:t> Nutrient composition of experimental diets: 60-100 Kg</w:t>
            </w:r>
          </w:p>
        </w:tc>
      </w:tr>
      <w:tr w:rsidR="00005623" w:rsidRPr="00013174" w:rsidTr="00005623">
        <w:trPr>
          <w:tblCellSpacing w:w="0" w:type="dxa"/>
        </w:trPr>
        <w:tc>
          <w:tcPr>
            <w:tcW w:w="2400" w:type="dxa"/>
            <w:vAlign w:val="center"/>
            <w:hideMark/>
          </w:tcPr>
          <w:p w:rsidR="00005623" w:rsidRPr="00013174" w:rsidRDefault="00005623" w:rsidP="00005623">
            <w:pPr>
              <w:pStyle w:val="NormalWeb"/>
              <w:jc w:val="both"/>
            </w:pPr>
            <w:r w:rsidRPr="00013174">
              <w:rPr>
                <w:rStyle w:val="Strong"/>
              </w:rPr>
              <w:t>Weight</w:t>
            </w:r>
          </w:p>
        </w:tc>
        <w:tc>
          <w:tcPr>
            <w:tcW w:w="0" w:type="auto"/>
            <w:vAlign w:val="center"/>
            <w:hideMark/>
          </w:tcPr>
          <w:p w:rsidR="00005623" w:rsidRPr="00013174" w:rsidRDefault="00005623" w:rsidP="00005623">
            <w:pPr>
              <w:pStyle w:val="NormalWeb"/>
              <w:jc w:val="both"/>
            </w:pPr>
            <w:r w:rsidRPr="00013174">
              <w:rPr>
                <w:rStyle w:val="Strong"/>
              </w:rPr>
              <w:t>SBM</w:t>
            </w:r>
          </w:p>
        </w:tc>
        <w:tc>
          <w:tcPr>
            <w:tcW w:w="0" w:type="auto"/>
            <w:vAlign w:val="center"/>
            <w:hideMark/>
          </w:tcPr>
          <w:p w:rsidR="00005623" w:rsidRPr="00013174" w:rsidRDefault="00005623" w:rsidP="00005623">
            <w:pPr>
              <w:pStyle w:val="NormalWeb"/>
              <w:jc w:val="both"/>
            </w:pPr>
            <w:r w:rsidRPr="00013174">
              <w:rPr>
                <w:rStyle w:val="Strong"/>
              </w:rPr>
              <w:t>10% CM</w:t>
            </w:r>
          </w:p>
        </w:tc>
        <w:tc>
          <w:tcPr>
            <w:tcW w:w="0" w:type="auto"/>
            <w:vAlign w:val="center"/>
            <w:hideMark/>
          </w:tcPr>
          <w:p w:rsidR="00005623" w:rsidRPr="00013174" w:rsidRDefault="00005623" w:rsidP="00005623">
            <w:pPr>
              <w:pStyle w:val="NormalWeb"/>
              <w:jc w:val="both"/>
            </w:pPr>
            <w:r w:rsidRPr="00013174">
              <w:rPr>
                <w:rStyle w:val="Strong"/>
              </w:rPr>
              <w:t>17.5% CM</w:t>
            </w:r>
          </w:p>
        </w:tc>
        <w:tc>
          <w:tcPr>
            <w:tcW w:w="825" w:type="dxa"/>
            <w:vAlign w:val="center"/>
            <w:hideMark/>
          </w:tcPr>
          <w:p w:rsidR="00005623" w:rsidRPr="00013174" w:rsidRDefault="00005623" w:rsidP="00005623">
            <w:pPr>
              <w:pStyle w:val="NormalWeb"/>
              <w:jc w:val="both"/>
            </w:pPr>
            <w:r w:rsidRPr="00013174">
              <w:rPr>
                <w:rStyle w:val="Strong"/>
              </w:rPr>
              <w:t>25% CM</w:t>
            </w:r>
          </w:p>
        </w:tc>
      </w:tr>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Dry matter, %</w:t>
            </w:r>
          </w:p>
        </w:tc>
        <w:tc>
          <w:tcPr>
            <w:tcW w:w="0" w:type="auto"/>
            <w:vAlign w:val="center"/>
            <w:hideMark/>
          </w:tcPr>
          <w:p w:rsidR="00005623" w:rsidRPr="00013174" w:rsidRDefault="00005623" w:rsidP="00005623">
            <w:pPr>
              <w:pStyle w:val="NormalWeb"/>
              <w:jc w:val="both"/>
            </w:pPr>
            <w:r w:rsidRPr="00013174">
              <w:t>88.8</w:t>
            </w:r>
          </w:p>
        </w:tc>
        <w:tc>
          <w:tcPr>
            <w:tcW w:w="0" w:type="auto"/>
            <w:vAlign w:val="center"/>
            <w:hideMark/>
          </w:tcPr>
          <w:p w:rsidR="00005623" w:rsidRPr="00013174" w:rsidRDefault="00005623" w:rsidP="00005623">
            <w:pPr>
              <w:pStyle w:val="NormalWeb"/>
              <w:jc w:val="both"/>
            </w:pPr>
            <w:r w:rsidRPr="00013174">
              <w:t>88.8</w:t>
            </w:r>
          </w:p>
        </w:tc>
        <w:tc>
          <w:tcPr>
            <w:tcW w:w="0" w:type="auto"/>
            <w:vAlign w:val="center"/>
            <w:hideMark/>
          </w:tcPr>
          <w:p w:rsidR="00005623" w:rsidRPr="00013174" w:rsidRDefault="00005623" w:rsidP="00005623">
            <w:pPr>
              <w:pStyle w:val="NormalWeb"/>
              <w:jc w:val="both"/>
            </w:pPr>
            <w:r w:rsidRPr="00013174">
              <w:t>88.5</w:t>
            </w:r>
          </w:p>
        </w:tc>
        <w:tc>
          <w:tcPr>
            <w:tcW w:w="0" w:type="auto"/>
            <w:vAlign w:val="center"/>
            <w:hideMark/>
          </w:tcPr>
          <w:p w:rsidR="00005623" w:rsidRPr="00013174" w:rsidRDefault="00005623" w:rsidP="00005623">
            <w:pPr>
              <w:pStyle w:val="NormalWeb"/>
              <w:jc w:val="both"/>
            </w:pPr>
            <w:r w:rsidRPr="00013174">
              <w:t>87.0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ME (kcal/kg)</w:t>
            </w:r>
          </w:p>
        </w:tc>
        <w:tc>
          <w:tcPr>
            <w:tcW w:w="0" w:type="auto"/>
            <w:vAlign w:val="center"/>
            <w:hideMark/>
          </w:tcPr>
          <w:p w:rsidR="00005623" w:rsidRPr="00013174" w:rsidRDefault="00005623" w:rsidP="00005623">
            <w:pPr>
              <w:pStyle w:val="NormalWeb"/>
              <w:jc w:val="both"/>
            </w:pPr>
            <w:r w:rsidRPr="00013174">
              <w:t>3,200</w:t>
            </w:r>
          </w:p>
        </w:tc>
        <w:tc>
          <w:tcPr>
            <w:tcW w:w="0" w:type="auto"/>
            <w:vAlign w:val="center"/>
            <w:hideMark/>
          </w:tcPr>
          <w:p w:rsidR="00005623" w:rsidRPr="00013174" w:rsidRDefault="00005623" w:rsidP="00005623">
            <w:pPr>
              <w:pStyle w:val="NormalWeb"/>
              <w:jc w:val="both"/>
            </w:pPr>
            <w:r w:rsidRPr="00013174">
              <w:t>3,200</w:t>
            </w:r>
          </w:p>
        </w:tc>
        <w:tc>
          <w:tcPr>
            <w:tcW w:w="0" w:type="auto"/>
            <w:vAlign w:val="center"/>
            <w:hideMark/>
          </w:tcPr>
          <w:p w:rsidR="00005623" w:rsidRPr="00013174" w:rsidRDefault="00005623" w:rsidP="00005623">
            <w:pPr>
              <w:pStyle w:val="NormalWeb"/>
              <w:jc w:val="both"/>
            </w:pPr>
            <w:r w:rsidRPr="00013174">
              <w:t>3,200</w:t>
            </w:r>
          </w:p>
        </w:tc>
        <w:tc>
          <w:tcPr>
            <w:tcW w:w="0" w:type="auto"/>
            <w:vAlign w:val="center"/>
            <w:hideMark/>
          </w:tcPr>
          <w:p w:rsidR="00005623" w:rsidRPr="00013174" w:rsidRDefault="00005623" w:rsidP="00005623">
            <w:pPr>
              <w:pStyle w:val="NormalWeb"/>
              <w:jc w:val="both"/>
            </w:pPr>
            <w:r w:rsidRPr="00013174">
              <w:t>3,200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Crude protein, %</w:t>
            </w:r>
          </w:p>
        </w:tc>
        <w:tc>
          <w:tcPr>
            <w:tcW w:w="0" w:type="auto"/>
            <w:vAlign w:val="center"/>
            <w:hideMark/>
          </w:tcPr>
          <w:p w:rsidR="00005623" w:rsidRPr="00013174" w:rsidRDefault="00005623" w:rsidP="00005623">
            <w:pPr>
              <w:pStyle w:val="NormalWeb"/>
              <w:jc w:val="both"/>
            </w:pPr>
            <w:r w:rsidRPr="00013174">
              <w:t>14.5</w:t>
            </w:r>
          </w:p>
        </w:tc>
        <w:tc>
          <w:tcPr>
            <w:tcW w:w="0" w:type="auto"/>
            <w:vAlign w:val="center"/>
            <w:hideMark/>
          </w:tcPr>
          <w:p w:rsidR="00005623" w:rsidRPr="00013174" w:rsidRDefault="00005623" w:rsidP="00005623">
            <w:pPr>
              <w:pStyle w:val="NormalWeb"/>
              <w:jc w:val="both"/>
            </w:pPr>
            <w:r w:rsidRPr="00013174">
              <w:t>14.5</w:t>
            </w:r>
          </w:p>
        </w:tc>
        <w:tc>
          <w:tcPr>
            <w:tcW w:w="0" w:type="auto"/>
            <w:vAlign w:val="center"/>
            <w:hideMark/>
          </w:tcPr>
          <w:p w:rsidR="00005623" w:rsidRPr="00013174" w:rsidRDefault="00005623" w:rsidP="00005623">
            <w:pPr>
              <w:pStyle w:val="NormalWeb"/>
              <w:jc w:val="both"/>
            </w:pPr>
            <w:r w:rsidRPr="00013174">
              <w:t>14.5</w:t>
            </w:r>
          </w:p>
        </w:tc>
        <w:tc>
          <w:tcPr>
            <w:tcW w:w="0" w:type="auto"/>
            <w:vAlign w:val="center"/>
            <w:hideMark/>
          </w:tcPr>
          <w:p w:rsidR="00005623" w:rsidRPr="00013174" w:rsidRDefault="00005623" w:rsidP="00005623">
            <w:pPr>
              <w:pStyle w:val="NormalWeb"/>
              <w:jc w:val="both"/>
            </w:pPr>
            <w:r w:rsidRPr="00013174">
              <w:t>14.5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Crude fat, %</w:t>
            </w:r>
          </w:p>
        </w:tc>
        <w:tc>
          <w:tcPr>
            <w:tcW w:w="0" w:type="auto"/>
            <w:vAlign w:val="center"/>
            <w:hideMark/>
          </w:tcPr>
          <w:p w:rsidR="00005623" w:rsidRPr="00013174" w:rsidRDefault="00005623" w:rsidP="00005623">
            <w:pPr>
              <w:pStyle w:val="NormalWeb"/>
              <w:jc w:val="both"/>
            </w:pPr>
            <w:r w:rsidRPr="00013174">
              <w:t>3.61</w:t>
            </w:r>
          </w:p>
        </w:tc>
        <w:tc>
          <w:tcPr>
            <w:tcW w:w="0" w:type="auto"/>
            <w:vAlign w:val="center"/>
            <w:hideMark/>
          </w:tcPr>
          <w:p w:rsidR="00005623" w:rsidRPr="00013174" w:rsidRDefault="00005623" w:rsidP="00005623">
            <w:pPr>
              <w:pStyle w:val="NormalWeb"/>
              <w:jc w:val="both"/>
            </w:pPr>
            <w:r w:rsidRPr="00013174">
              <w:t>3.56</w:t>
            </w:r>
          </w:p>
        </w:tc>
        <w:tc>
          <w:tcPr>
            <w:tcW w:w="0" w:type="auto"/>
            <w:vAlign w:val="center"/>
            <w:hideMark/>
          </w:tcPr>
          <w:p w:rsidR="00005623" w:rsidRPr="00013174" w:rsidRDefault="00005623" w:rsidP="00005623">
            <w:pPr>
              <w:pStyle w:val="NormalWeb"/>
              <w:jc w:val="both"/>
            </w:pPr>
            <w:r w:rsidRPr="00013174">
              <w:t>3.96</w:t>
            </w:r>
          </w:p>
        </w:tc>
        <w:tc>
          <w:tcPr>
            <w:tcW w:w="0" w:type="auto"/>
            <w:vAlign w:val="center"/>
            <w:hideMark/>
          </w:tcPr>
          <w:p w:rsidR="00005623" w:rsidRPr="00013174" w:rsidRDefault="00005623" w:rsidP="00005623">
            <w:pPr>
              <w:pStyle w:val="NormalWeb"/>
              <w:jc w:val="both"/>
            </w:pPr>
            <w:r w:rsidRPr="00013174">
              <w:t>3.85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Crude fibre, %</w:t>
            </w:r>
          </w:p>
        </w:tc>
        <w:tc>
          <w:tcPr>
            <w:tcW w:w="0" w:type="auto"/>
            <w:vAlign w:val="center"/>
            <w:hideMark/>
          </w:tcPr>
          <w:p w:rsidR="00005623" w:rsidRPr="00013174" w:rsidRDefault="00005623" w:rsidP="00005623">
            <w:pPr>
              <w:pStyle w:val="NormalWeb"/>
              <w:jc w:val="both"/>
            </w:pPr>
            <w:r w:rsidRPr="00013174">
              <w:t>2.76</w:t>
            </w:r>
          </w:p>
        </w:tc>
        <w:tc>
          <w:tcPr>
            <w:tcW w:w="0" w:type="auto"/>
            <w:vAlign w:val="center"/>
            <w:hideMark/>
          </w:tcPr>
          <w:p w:rsidR="00005623" w:rsidRPr="00013174" w:rsidRDefault="00005623" w:rsidP="00005623">
            <w:pPr>
              <w:pStyle w:val="NormalWeb"/>
              <w:jc w:val="both"/>
            </w:pPr>
            <w:r w:rsidRPr="00013174">
              <w:t>3.15</w:t>
            </w:r>
          </w:p>
        </w:tc>
        <w:tc>
          <w:tcPr>
            <w:tcW w:w="0" w:type="auto"/>
            <w:vAlign w:val="center"/>
            <w:hideMark/>
          </w:tcPr>
          <w:p w:rsidR="00005623" w:rsidRPr="00013174" w:rsidRDefault="00005623" w:rsidP="00005623">
            <w:pPr>
              <w:pStyle w:val="NormalWeb"/>
              <w:jc w:val="both"/>
            </w:pPr>
            <w:r w:rsidRPr="00013174">
              <w:t>3.50</w:t>
            </w:r>
          </w:p>
        </w:tc>
        <w:tc>
          <w:tcPr>
            <w:tcW w:w="0" w:type="auto"/>
            <w:vAlign w:val="center"/>
            <w:hideMark/>
          </w:tcPr>
          <w:p w:rsidR="00005623" w:rsidRPr="00013174" w:rsidRDefault="00005623" w:rsidP="00005623">
            <w:pPr>
              <w:pStyle w:val="NormalWeb"/>
              <w:jc w:val="both"/>
            </w:pPr>
            <w:r w:rsidRPr="00013174">
              <w:t>4.12</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Ca, %</w:t>
            </w:r>
          </w:p>
        </w:tc>
        <w:tc>
          <w:tcPr>
            <w:tcW w:w="0" w:type="auto"/>
            <w:vAlign w:val="center"/>
            <w:hideMark/>
          </w:tcPr>
          <w:p w:rsidR="00005623" w:rsidRPr="00013174" w:rsidRDefault="00005623" w:rsidP="00005623">
            <w:pPr>
              <w:pStyle w:val="NormalWeb"/>
              <w:jc w:val="both"/>
            </w:pPr>
            <w:r w:rsidRPr="00013174">
              <w:t>0.70</w:t>
            </w:r>
          </w:p>
        </w:tc>
        <w:tc>
          <w:tcPr>
            <w:tcW w:w="0" w:type="auto"/>
            <w:vAlign w:val="center"/>
            <w:hideMark/>
          </w:tcPr>
          <w:p w:rsidR="00005623" w:rsidRPr="00013174" w:rsidRDefault="00005623" w:rsidP="00005623">
            <w:pPr>
              <w:pStyle w:val="NormalWeb"/>
              <w:jc w:val="both"/>
            </w:pPr>
            <w:r w:rsidRPr="00013174">
              <w:t>0.70</w:t>
            </w:r>
          </w:p>
        </w:tc>
        <w:tc>
          <w:tcPr>
            <w:tcW w:w="0" w:type="auto"/>
            <w:vAlign w:val="center"/>
            <w:hideMark/>
          </w:tcPr>
          <w:p w:rsidR="00005623" w:rsidRPr="00013174" w:rsidRDefault="00005623" w:rsidP="00005623">
            <w:pPr>
              <w:pStyle w:val="NormalWeb"/>
              <w:jc w:val="both"/>
            </w:pPr>
            <w:r w:rsidRPr="00013174">
              <w:t>0.70</w:t>
            </w:r>
          </w:p>
        </w:tc>
        <w:tc>
          <w:tcPr>
            <w:tcW w:w="0" w:type="auto"/>
            <w:vAlign w:val="center"/>
            <w:hideMark/>
          </w:tcPr>
          <w:p w:rsidR="00005623" w:rsidRPr="00013174" w:rsidRDefault="00005623" w:rsidP="00005623">
            <w:pPr>
              <w:pStyle w:val="NormalWeb"/>
              <w:jc w:val="both"/>
            </w:pPr>
            <w:r w:rsidRPr="00013174">
              <w:t>0.70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Total P, %</w:t>
            </w:r>
          </w:p>
        </w:tc>
        <w:tc>
          <w:tcPr>
            <w:tcW w:w="0" w:type="auto"/>
            <w:vAlign w:val="center"/>
            <w:hideMark/>
          </w:tcPr>
          <w:p w:rsidR="00005623" w:rsidRPr="00013174" w:rsidRDefault="00005623" w:rsidP="00005623">
            <w:pPr>
              <w:pStyle w:val="NormalWeb"/>
              <w:jc w:val="both"/>
            </w:pPr>
            <w:r w:rsidRPr="00013174">
              <w:t>0.55</w:t>
            </w:r>
          </w:p>
        </w:tc>
        <w:tc>
          <w:tcPr>
            <w:tcW w:w="0" w:type="auto"/>
            <w:vAlign w:val="center"/>
            <w:hideMark/>
          </w:tcPr>
          <w:p w:rsidR="00005623" w:rsidRPr="00013174" w:rsidRDefault="00005623" w:rsidP="00005623">
            <w:pPr>
              <w:pStyle w:val="NormalWeb"/>
              <w:jc w:val="both"/>
            </w:pPr>
            <w:r w:rsidRPr="00013174">
              <w:t>0.55</w:t>
            </w:r>
          </w:p>
        </w:tc>
        <w:tc>
          <w:tcPr>
            <w:tcW w:w="0" w:type="auto"/>
            <w:vAlign w:val="center"/>
            <w:hideMark/>
          </w:tcPr>
          <w:p w:rsidR="00005623" w:rsidRPr="00013174" w:rsidRDefault="00005623" w:rsidP="00005623">
            <w:pPr>
              <w:pStyle w:val="NormalWeb"/>
              <w:jc w:val="both"/>
            </w:pPr>
            <w:r w:rsidRPr="00013174">
              <w:t>0.55</w:t>
            </w:r>
          </w:p>
        </w:tc>
        <w:tc>
          <w:tcPr>
            <w:tcW w:w="0" w:type="auto"/>
            <w:vAlign w:val="center"/>
            <w:hideMark/>
          </w:tcPr>
          <w:p w:rsidR="00005623" w:rsidRPr="00013174" w:rsidRDefault="00005623" w:rsidP="00005623">
            <w:pPr>
              <w:pStyle w:val="NormalWeb"/>
              <w:jc w:val="both"/>
            </w:pPr>
            <w:r w:rsidRPr="00013174">
              <w:t>0.55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Lysine, %</w:t>
            </w:r>
          </w:p>
        </w:tc>
        <w:tc>
          <w:tcPr>
            <w:tcW w:w="0" w:type="auto"/>
            <w:vAlign w:val="center"/>
            <w:hideMark/>
          </w:tcPr>
          <w:p w:rsidR="00005623" w:rsidRPr="00013174" w:rsidRDefault="00005623" w:rsidP="00005623">
            <w:pPr>
              <w:pStyle w:val="NormalWeb"/>
              <w:jc w:val="both"/>
            </w:pPr>
            <w:r w:rsidRPr="00013174">
              <w:t>0.70</w:t>
            </w:r>
          </w:p>
        </w:tc>
        <w:tc>
          <w:tcPr>
            <w:tcW w:w="0" w:type="auto"/>
            <w:vAlign w:val="center"/>
            <w:hideMark/>
          </w:tcPr>
          <w:p w:rsidR="00005623" w:rsidRPr="00013174" w:rsidRDefault="00005623" w:rsidP="00005623">
            <w:pPr>
              <w:pStyle w:val="NormalWeb"/>
              <w:jc w:val="both"/>
            </w:pPr>
            <w:r w:rsidRPr="00013174">
              <w:t>0.70</w:t>
            </w:r>
          </w:p>
        </w:tc>
        <w:tc>
          <w:tcPr>
            <w:tcW w:w="0" w:type="auto"/>
            <w:vAlign w:val="center"/>
            <w:hideMark/>
          </w:tcPr>
          <w:p w:rsidR="00005623" w:rsidRPr="00013174" w:rsidRDefault="00005623" w:rsidP="00005623">
            <w:pPr>
              <w:pStyle w:val="NormalWeb"/>
              <w:jc w:val="both"/>
            </w:pPr>
            <w:r w:rsidRPr="00013174">
              <w:t>0.70</w:t>
            </w:r>
          </w:p>
        </w:tc>
        <w:tc>
          <w:tcPr>
            <w:tcW w:w="0" w:type="auto"/>
            <w:vAlign w:val="center"/>
            <w:hideMark/>
          </w:tcPr>
          <w:p w:rsidR="00005623" w:rsidRPr="00013174" w:rsidRDefault="00005623" w:rsidP="00005623">
            <w:pPr>
              <w:pStyle w:val="NormalWeb"/>
              <w:jc w:val="both"/>
            </w:pPr>
            <w:r w:rsidRPr="00013174">
              <w:t>0.70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Met + Cystine, %</w:t>
            </w:r>
          </w:p>
        </w:tc>
        <w:tc>
          <w:tcPr>
            <w:tcW w:w="0" w:type="auto"/>
            <w:vAlign w:val="center"/>
            <w:hideMark/>
          </w:tcPr>
          <w:p w:rsidR="00005623" w:rsidRPr="00013174" w:rsidRDefault="00005623" w:rsidP="00005623">
            <w:pPr>
              <w:pStyle w:val="NormalWeb"/>
              <w:jc w:val="both"/>
            </w:pPr>
            <w:r w:rsidRPr="00013174">
              <w:t>0.60</w:t>
            </w:r>
          </w:p>
        </w:tc>
        <w:tc>
          <w:tcPr>
            <w:tcW w:w="0" w:type="auto"/>
            <w:vAlign w:val="center"/>
            <w:hideMark/>
          </w:tcPr>
          <w:p w:rsidR="00005623" w:rsidRPr="00013174" w:rsidRDefault="00005623" w:rsidP="00005623">
            <w:pPr>
              <w:pStyle w:val="NormalWeb"/>
              <w:jc w:val="both"/>
            </w:pPr>
            <w:r w:rsidRPr="00013174">
              <w:t>0.60</w:t>
            </w:r>
          </w:p>
        </w:tc>
        <w:tc>
          <w:tcPr>
            <w:tcW w:w="0" w:type="auto"/>
            <w:vAlign w:val="center"/>
            <w:hideMark/>
          </w:tcPr>
          <w:p w:rsidR="00005623" w:rsidRPr="00013174" w:rsidRDefault="00005623" w:rsidP="00005623">
            <w:pPr>
              <w:pStyle w:val="NormalWeb"/>
              <w:jc w:val="both"/>
            </w:pPr>
            <w:r w:rsidRPr="00013174">
              <w:t>0.61</w:t>
            </w:r>
          </w:p>
        </w:tc>
        <w:tc>
          <w:tcPr>
            <w:tcW w:w="0" w:type="auto"/>
            <w:vAlign w:val="center"/>
            <w:hideMark/>
          </w:tcPr>
          <w:p w:rsidR="00005623" w:rsidRPr="00013174" w:rsidRDefault="00005623" w:rsidP="00005623">
            <w:pPr>
              <w:pStyle w:val="NormalWeb"/>
              <w:jc w:val="both"/>
            </w:pPr>
            <w:r w:rsidRPr="00013174">
              <w:t>0.60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Threonine, %</w:t>
            </w:r>
          </w:p>
        </w:tc>
        <w:tc>
          <w:tcPr>
            <w:tcW w:w="0" w:type="auto"/>
            <w:vAlign w:val="center"/>
            <w:hideMark/>
          </w:tcPr>
          <w:p w:rsidR="00005623" w:rsidRPr="00013174" w:rsidRDefault="00005623" w:rsidP="00005623">
            <w:pPr>
              <w:pStyle w:val="NormalWeb"/>
              <w:jc w:val="both"/>
            </w:pPr>
            <w:r w:rsidRPr="00013174">
              <w:t>0.55</w:t>
            </w:r>
          </w:p>
        </w:tc>
        <w:tc>
          <w:tcPr>
            <w:tcW w:w="0" w:type="auto"/>
            <w:vAlign w:val="center"/>
            <w:hideMark/>
          </w:tcPr>
          <w:p w:rsidR="00005623" w:rsidRPr="00013174" w:rsidRDefault="00005623" w:rsidP="00005623">
            <w:pPr>
              <w:pStyle w:val="NormalWeb"/>
              <w:jc w:val="both"/>
            </w:pPr>
            <w:r w:rsidRPr="00013174">
              <w:t>0.55</w:t>
            </w:r>
          </w:p>
        </w:tc>
        <w:tc>
          <w:tcPr>
            <w:tcW w:w="0" w:type="auto"/>
            <w:vAlign w:val="center"/>
            <w:hideMark/>
          </w:tcPr>
          <w:p w:rsidR="00005623" w:rsidRPr="00013174" w:rsidRDefault="00005623" w:rsidP="00005623">
            <w:pPr>
              <w:pStyle w:val="NormalWeb"/>
              <w:jc w:val="both"/>
            </w:pPr>
            <w:r w:rsidRPr="00013174">
              <w:t>0.55</w:t>
            </w:r>
          </w:p>
        </w:tc>
        <w:tc>
          <w:tcPr>
            <w:tcW w:w="0" w:type="auto"/>
            <w:vAlign w:val="center"/>
            <w:hideMark/>
          </w:tcPr>
          <w:p w:rsidR="00005623" w:rsidRPr="00013174" w:rsidRDefault="00005623" w:rsidP="00005623">
            <w:pPr>
              <w:pStyle w:val="NormalWeb"/>
              <w:jc w:val="both"/>
            </w:pPr>
            <w:r w:rsidRPr="00013174">
              <w:t>0.55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Tryptophan, %</w:t>
            </w:r>
          </w:p>
        </w:tc>
        <w:tc>
          <w:tcPr>
            <w:tcW w:w="0" w:type="auto"/>
            <w:vAlign w:val="center"/>
            <w:hideMark/>
          </w:tcPr>
          <w:p w:rsidR="00005623" w:rsidRPr="00013174" w:rsidRDefault="00005623" w:rsidP="00005623">
            <w:pPr>
              <w:pStyle w:val="NormalWeb"/>
              <w:jc w:val="both"/>
            </w:pPr>
            <w:r w:rsidRPr="00013174">
              <w:t>0.15</w:t>
            </w:r>
          </w:p>
        </w:tc>
        <w:tc>
          <w:tcPr>
            <w:tcW w:w="0" w:type="auto"/>
            <w:vAlign w:val="center"/>
            <w:hideMark/>
          </w:tcPr>
          <w:p w:rsidR="00005623" w:rsidRPr="00013174" w:rsidRDefault="00005623" w:rsidP="00005623">
            <w:pPr>
              <w:pStyle w:val="NormalWeb"/>
              <w:jc w:val="both"/>
            </w:pPr>
            <w:r w:rsidRPr="00013174">
              <w:t>0.15</w:t>
            </w:r>
          </w:p>
        </w:tc>
        <w:tc>
          <w:tcPr>
            <w:tcW w:w="0" w:type="auto"/>
            <w:vAlign w:val="center"/>
            <w:hideMark/>
          </w:tcPr>
          <w:p w:rsidR="00005623" w:rsidRPr="00013174" w:rsidRDefault="00005623" w:rsidP="00005623">
            <w:pPr>
              <w:pStyle w:val="NormalWeb"/>
              <w:jc w:val="both"/>
            </w:pPr>
            <w:r w:rsidRPr="00013174">
              <w:t>0.15</w:t>
            </w:r>
          </w:p>
        </w:tc>
        <w:tc>
          <w:tcPr>
            <w:tcW w:w="0" w:type="auto"/>
            <w:vAlign w:val="center"/>
            <w:hideMark/>
          </w:tcPr>
          <w:p w:rsidR="00005623" w:rsidRPr="00013174" w:rsidRDefault="00005623" w:rsidP="00005623">
            <w:pPr>
              <w:pStyle w:val="NormalWeb"/>
              <w:jc w:val="both"/>
            </w:pPr>
            <w:r w:rsidRPr="00013174">
              <w:t>0.15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Salt, %</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0.50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Available P, %</w:t>
            </w:r>
          </w:p>
        </w:tc>
        <w:tc>
          <w:tcPr>
            <w:tcW w:w="0" w:type="auto"/>
            <w:vAlign w:val="center"/>
            <w:hideMark/>
          </w:tcPr>
          <w:p w:rsidR="00005623" w:rsidRPr="00013174" w:rsidRDefault="00005623" w:rsidP="00005623">
            <w:pPr>
              <w:pStyle w:val="NormalWeb"/>
              <w:jc w:val="both"/>
            </w:pPr>
            <w:r w:rsidRPr="00013174">
              <w:t>0.21</w:t>
            </w:r>
          </w:p>
        </w:tc>
        <w:tc>
          <w:tcPr>
            <w:tcW w:w="0" w:type="auto"/>
            <w:vAlign w:val="center"/>
            <w:hideMark/>
          </w:tcPr>
          <w:p w:rsidR="00005623" w:rsidRPr="00013174" w:rsidRDefault="00005623" w:rsidP="00005623">
            <w:pPr>
              <w:pStyle w:val="NormalWeb"/>
              <w:jc w:val="both"/>
            </w:pPr>
            <w:r w:rsidRPr="00013174">
              <w:t>0.21</w:t>
            </w:r>
          </w:p>
        </w:tc>
        <w:tc>
          <w:tcPr>
            <w:tcW w:w="0" w:type="auto"/>
            <w:vAlign w:val="center"/>
            <w:hideMark/>
          </w:tcPr>
          <w:p w:rsidR="00005623" w:rsidRPr="00013174" w:rsidRDefault="00005623" w:rsidP="00005623">
            <w:pPr>
              <w:pStyle w:val="NormalWeb"/>
              <w:jc w:val="both"/>
            </w:pPr>
            <w:r w:rsidRPr="00013174">
              <w:t>0.21</w:t>
            </w:r>
          </w:p>
        </w:tc>
        <w:tc>
          <w:tcPr>
            <w:tcW w:w="0" w:type="auto"/>
            <w:vAlign w:val="center"/>
            <w:hideMark/>
          </w:tcPr>
          <w:p w:rsidR="00005623" w:rsidRPr="00013174" w:rsidRDefault="00005623" w:rsidP="00005623">
            <w:pPr>
              <w:pStyle w:val="NormalWeb"/>
              <w:jc w:val="both"/>
            </w:pPr>
            <w:r w:rsidRPr="00013174">
              <w:t>0.21</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Methionine, %</w:t>
            </w:r>
          </w:p>
        </w:tc>
        <w:tc>
          <w:tcPr>
            <w:tcW w:w="0" w:type="auto"/>
            <w:vAlign w:val="center"/>
            <w:hideMark/>
          </w:tcPr>
          <w:p w:rsidR="00005623" w:rsidRPr="00013174" w:rsidRDefault="00005623" w:rsidP="00005623">
            <w:pPr>
              <w:pStyle w:val="NormalWeb"/>
              <w:jc w:val="both"/>
            </w:pPr>
            <w:r w:rsidRPr="00013174">
              <w:t>0.30</w:t>
            </w:r>
          </w:p>
        </w:tc>
        <w:tc>
          <w:tcPr>
            <w:tcW w:w="0" w:type="auto"/>
            <w:vAlign w:val="center"/>
            <w:hideMark/>
          </w:tcPr>
          <w:p w:rsidR="00005623" w:rsidRPr="00013174" w:rsidRDefault="00005623" w:rsidP="00005623">
            <w:pPr>
              <w:pStyle w:val="NormalWeb"/>
              <w:jc w:val="both"/>
            </w:pPr>
            <w:r w:rsidRPr="00013174">
              <w:t>0.30</w:t>
            </w:r>
          </w:p>
        </w:tc>
        <w:tc>
          <w:tcPr>
            <w:tcW w:w="0" w:type="auto"/>
            <w:vAlign w:val="center"/>
            <w:hideMark/>
          </w:tcPr>
          <w:p w:rsidR="00005623" w:rsidRPr="00013174" w:rsidRDefault="00005623" w:rsidP="00005623">
            <w:pPr>
              <w:pStyle w:val="NormalWeb"/>
              <w:jc w:val="both"/>
            </w:pPr>
            <w:r w:rsidRPr="00013174">
              <w:t>0.30</w:t>
            </w:r>
          </w:p>
        </w:tc>
        <w:tc>
          <w:tcPr>
            <w:tcW w:w="0" w:type="auto"/>
            <w:vAlign w:val="center"/>
            <w:hideMark/>
          </w:tcPr>
          <w:p w:rsidR="00005623" w:rsidRPr="00013174" w:rsidRDefault="00005623" w:rsidP="00005623">
            <w:pPr>
              <w:pStyle w:val="NormalWeb"/>
              <w:jc w:val="both"/>
            </w:pPr>
            <w:r w:rsidRPr="00013174">
              <w:t>0.30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Digestible Lysine, %</w:t>
            </w:r>
          </w:p>
        </w:tc>
        <w:tc>
          <w:tcPr>
            <w:tcW w:w="0" w:type="auto"/>
            <w:vAlign w:val="center"/>
            <w:hideMark/>
          </w:tcPr>
          <w:p w:rsidR="00005623" w:rsidRPr="00013174" w:rsidRDefault="00005623" w:rsidP="00005623">
            <w:pPr>
              <w:pStyle w:val="NormalWeb"/>
              <w:jc w:val="both"/>
            </w:pPr>
            <w:r w:rsidRPr="00013174">
              <w:t>0.51</w:t>
            </w:r>
          </w:p>
        </w:tc>
        <w:tc>
          <w:tcPr>
            <w:tcW w:w="0" w:type="auto"/>
            <w:vAlign w:val="center"/>
            <w:hideMark/>
          </w:tcPr>
          <w:p w:rsidR="00005623" w:rsidRPr="00013174" w:rsidRDefault="00005623" w:rsidP="00005623">
            <w:pPr>
              <w:pStyle w:val="NormalWeb"/>
              <w:jc w:val="both"/>
            </w:pPr>
            <w:r w:rsidRPr="00013174">
              <w:t>0.52</w:t>
            </w:r>
          </w:p>
        </w:tc>
        <w:tc>
          <w:tcPr>
            <w:tcW w:w="0" w:type="auto"/>
            <w:vAlign w:val="center"/>
            <w:hideMark/>
          </w:tcPr>
          <w:p w:rsidR="00005623" w:rsidRPr="00013174" w:rsidRDefault="00005623" w:rsidP="00005623">
            <w:pPr>
              <w:pStyle w:val="NormalWeb"/>
              <w:jc w:val="both"/>
            </w:pPr>
            <w:r w:rsidRPr="00013174">
              <w:t>0.50</w:t>
            </w:r>
          </w:p>
        </w:tc>
        <w:tc>
          <w:tcPr>
            <w:tcW w:w="0" w:type="auto"/>
            <w:vAlign w:val="center"/>
            <w:hideMark/>
          </w:tcPr>
          <w:p w:rsidR="00005623" w:rsidRPr="00013174" w:rsidRDefault="00005623" w:rsidP="00005623">
            <w:pPr>
              <w:pStyle w:val="NormalWeb"/>
              <w:jc w:val="both"/>
            </w:pPr>
            <w:r w:rsidRPr="00013174">
              <w:t>0.52</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Digestible Methionine, %</w:t>
            </w:r>
          </w:p>
        </w:tc>
        <w:tc>
          <w:tcPr>
            <w:tcW w:w="0" w:type="auto"/>
            <w:vAlign w:val="center"/>
            <w:hideMark/>
          </w:tcPr>
          <w:p w:rsidR="00005623" w:rsidRPr="00013174" w:rsidRDefault="00005623" w:rsidP="00005623">
            <w:pPr>
              <w:pStyle w:val="NormalWeb"/>
              <w:jc w:val="both"/>
            </w:pPr>
            <w:r w:rsidRPr="00013174">
              <w:t>0.24</w:t>
            </w:r>
          </w:p>
        </w:tc>
        <w:tc>
          <w:tcPr>
            <w:tcW w:w="0" w:type="auto"/>
            <w:vAlign w:val="center"/>
            <w:hideMark/>
          </w:tcPr>
          <w:p w:rsidR="00005623" w:rsidRPr="00013174" w:rsidRDefault="00005623" w:rsidP="00005623">
            <w:pPr>
              <w:pStyle w:val="NormalWeb"/>
              <w:jc w:val="both"/>
            </w:pPr>
            <w:r w:rsidRPr="00013174">
              <w:t>0.24</w:t>
            </w:r>
          </w:p>
        </w:tc>
        <w:tc>
          <w:tcPr>
            <w:tcW w:w="0" w:type="auto"/>
            <w:vAlign w:val="center"/>
            <w:hideMark/>
          </w:tcPr>
          <w:p w:rsidR="00005623" w:rsidRPr="00013174" w:rsidRDefault="00005623" w:rsidP="00005623">
            <w:pPr>
              <w:pStyle w:val="NormalWeb"/>
              <w:jc w:val="both"/>
            </w:pPr>
            <w:r w:rsidRPr="00013174">
              <w:t>0.23</w:t>
            </w:r>
          </w:p>
        </w:tc>
        <w:tc>
          <w:tcPr>
            <w:tcW w:w="0" w:type="auto"/>
            <w:vAlign w:val="center"/>
            <w:hideMark/>
          </w:tcPr>
          <w:p w:rsidR="00005623" w:rsidRPr="00013174" w:rsidRDefault="00005623" w:rsidP="00005623">
            <w:pPr>
              <w:pStyle w:val="NormalWeb"/>
              <w:jc w:val="both"/>
            </w:pPr>
            <w:r w:rsidRPr="00013174">
              <w:t>0.24</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Digesttible Met + Cys, %</w:t>
            </w:r>
          </w:p>
        </w:tc>
        <w:tc>
          <w:tcPr>
            <w:tcW w:w="0" w:type="auto"/>
            <w:vAlign w:val="center"/>
            <w:hideMark/>
          </w:tcPr>
          <w:p w:rsidR="00005623" w:rsidRPr="00013174" w:rsidRDefault="00005623" w:rsidP="00005623">
            <w:pPr>
              <w:pStyle w:val="NormalWeb"/>
              <w:jc w:val="both"/>
            </w:pPr>
            <w:r w:rsidRPr="00013174">
              <w:t>0.46</w:t>
            </w:r>
          </w:p>
        </w:tc>
        <w:tc>
          <w:tcPr>
            <w:tcW w:w="0" w:type="auto"/>
            <w:vAlign w:val="center"/>
            <w:hideMark/>
          </w:tcPr>
          <w:p w:rsidR="00005623" w:rsidRPr="00013174" w:rsidRDefault="00005623" w:rsidP="00005623">
            <w:pPr>
              <w:pStyle w:val="NormalWeb"/>
              <w:jc w:val="both"/>
            </w:pPr>
            <w:r w:rsidRPr="00013174">
              <w:t>0.46</w:t>
            </w:r>
          </w:p>
        </w:tc>
        <w:tc>
          <w:tcPr>
            <w:tcW w:w="0" w:type="auto"/>
            <w:vAlign w:val="center"/>
            <w:hideMark/>
          </w:tcPr>
          <w:p w:rsidR="00005623" w:rsidRPr="00013174" w:rsidRDefault="00005623" w:rsidP="00005623">
            <w:pPr>
              <w:pStyle w:val="NormalWeb"/>
              <w:jc w:val="both"/>
            </w:pPr>
            <w:r w:rsidRPr="00013174">
              <w:t>0.46</w:t>
            </w:r>
          </w:p>
        </w:tc>
        <w:tc>
          <w:tcPr>
            <w:tcW w:w="0" w:type="auto"/>
            <w:vAlign w:val="center"/>
            <w:hideMark/>
          </w:tcPr>
          <w:p w:rsidR="00005623" w:rsidRPr="00013174" w:rsidRDefault="00005623" w:rsidP="00005623">
            <w:pPr>
              <w:pStyle w:val="NormalWeb"/>
              <w:jc w:val="both"/>
            </w:pPr>
            <w:r w:rsidRPr="00013174">
              <w:t>0.47</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Digestible Threonine, %</w:t>
            </w:r>
          </w:p>
        </w:tc>
        <w:tc>
          <w:tcPr>
            <w:tcW w:w="0" w:type="auto"/>
            <w:vAlign w:val="center"/>
            <w:hideMark/>
          </w:tcPr>
          <w:p w:rsidR="00005623" w:rsidRPr="00013174" w:rsidRDefault="00005623" w:rsidP="00005623">
            <w:pPr>
              <w:pStyle w:val="NormalWeb"/>
              <w:jc w:val="both"/>
            </w:pPr>
            <w:r w:rsidRPr="00013174">
              <w:t>0.38</w:t>
            </w:r>
          </w:p>
        </w:tc>
        <w:tc>
          <w:tcPr>
            <w:tcW w:w="0" w:type="auto"/>
            <w:vAlign w:val="center"/>
            <w:hideMark/>
          </w:tcPr>
          <w:p w:rsidR="00005623" w:rsidRPr="00013174" w:rsidRDefault="00005623" w:rsidP="00005623">
            <w:pPr>
              <w:pStyle w:val="NormalWeb"/>
              <w:jc w:val="both"/>
            </w:pPr>
            <w:r w:rsidRPr="00013174">
              <w:t>0.38</w:t>
            </w:r>
          </w:p>
        </w:tc>
        <w:tc>
          <w:tcPr>
            <w:tcW w:w="0" w:type="auto"/>
            <w:vAlign w:val="center"/>
            <w:hideMark/>
          </w:tcPr>
          <w:p w:rsidR="00005623" w:rsidRPr="00013174" w:rsidRDefault="00005623" w:rsidP="00005623">
            <w:pPr>
              <w:pStyle w:val="NormalWeb"/>
              <w:jc w:val="both"/>
            </w:pPr>
            <w:r w:rsidRPr="00013174">
              <w:t>0.40</w:t>
            </w:r>
          </w:p>
        </w:tc>
        <w:tc>
          <w:tcPr>
            <w:tcW w:w="0" w:type="auto"/>
            <w:vAlign w:val="center"/>
            <w:hideMark/>
          </w:tcPr>
          <w:p w:rsidR="00005623" w:rsidRPr="00013174" w:rsidRDefault="00005623" w:rsidP="00005623">
            <w:pPr>
              <w:pStyle w:val="NormalWeb"/>
              <w:jc w:val="both"/>
            </w:pPr>
            <w:r w:rsidRPr="00013174">
              <w:t>0.40</w:t>
            </w:r>
          </w:p>
        </w:tc>
      </w:tr>
      <w:tr w:rsidR="00005623" w:rsidRPr="00013174" w:rsidTr="00005623">
        <w:trPr>
          <w:tblCellSpacing w:w="0" w:type="dxa"/>
        </w:trPr>
        <w:tc>
          <w:tcPr>
            <w:tcW w:w="0" w:type="auto"/>
            <w:gridSpan w:val="5"/>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bl>
    <w:p w:rsidR="00005623" w:rsidRPr="00013174" w:rsidRDefault="00005623" w:rsidP="00005623">
      <w:pPr>
        <w:pStyle w:val="Heading5"/>
        <w:jc w:val="both"/>
        <w:rPr>
          <w:rFonts w:ascii="Times New Roman" w:hAnsi="Times New Roman" w:cs="Times New Roman"/>
          <w:color w:val="000000"/>
          <w:sz w:val="24"/>
          <w:szCs w:val="24"/>
        </w:rPr>
      </w:pPr>
      <w:r w:rsidRPr="00013174">
        <w:rPr>
          <w:rFonts w:ascii="Times New Roman" w:hAnsi="Times New Roman" w:cs="Times New Roman"/>
          <w:color w:val="000000"/>
          <w:sz w:val="24"/>
          <w:szCs w:val="24"/>
        </w:rPr>
        <w:t>Statistical Analysis</w:t>
      </w:r>
    </w:p>
    <w:p w:rsidR="00005623" w:rsidRPr="00013174" w:rsidRDefault="00005623" w:rsidP="00005623">
      <w:pPr>
        <w:pStyle w:val="NormalWeb"/>
        <w:jc w:val="both"/>
        <w:rPr>
          <w:color w:val="000000"/>
        </w:rPr>
      </w:pPr>
      <w:r w:rsidRPr="00013174">
        <w:rPr>
          <w:color w:val="000000"/>
        </w:rPr>
        <w:t>Experimental results were subjected to analysis of variance (ANOVA). The Minitab statistical software version 16 was used to test for significance of treatment differences, and Tukey’s one-way multiple comparisons were used to identify differences among means in the required cases, when the analysis of variance was significant (</w:t>
      </w:r>
      <w:r w:rsidRPr="00013174">
        <w:rPr>
          <w:rStyle w:val="Emphasis"/>
          <w:color w:val="000000"/>
        </w:rPr>
        <w:t>p</w:t>
      </w:r>
      <w:r w:rsidRPr="00013174">
        <w:rPr>
          <w:color w:val="000000"/>
        </w:rPr>
        <w:t>&lt;0.05).</w:t>
      </w:r>
    </w:p>
    <w:p w:rsidR="00005623" w:rsidRPr="00013174" w:rsidRDefault="00005623" w:rsidP="00005623">
      <w:pPr>
        <w:pStyle w:val="Heading4"/>
        <w:jc w:val="both"/>
        <w:rPr>
          <w:color w:val="000000"/>
        </w:rPr>
      </w:pPr>
      <w:r w:rsidRPr="00013174">
        <w:rPr>
          <w:color w:val="000000"/>
        </w:rPr>
        <w:br/>
        <w:t>Results</w:t>
      </w:r>
    </w:p>
    <w:p w:rsidR="00005623" w:rsidRPr="00013174" w:rsidRDefault="00005623" w:rsidP="00005623">
      <w:pPr>
        <w:pStyle w:val="NormalWeb"/>
        <w:jc w:val="both"/>
        <w:rPr>
          <w:color w:val="000000"/>
        </w:rPr>
      </w:pPr>
      <w:r w:rsidRPr="00013174">
        <w:rPr>
          <w:color w:val="000000"/>
        </w:rPr>
        <w:t>From the initial stage to 60 days, there were no difference among the diets that included either 10% or 20% CM or SBM (</w:t>
      </w:r>
      <w:r w:rsidRPr="00013174">
        <w:rPr>
          <w:rStyle w:val="Emphasis"/>
          <w:color w:val="000000"/>
        </w:rPr>
        <w:t>p</w:t>
      </w:r>
      <w:r w:rsidRPr="00013174">
        <w:rPr>
          <w:color w:val="000000"/>
        </w:rPr>
        <w:t>&gt;0.05) (Table 5). However, consumption of the 30% CM diet resulted in a significant reduction in the body weight of those animals relative to the SBM control group ( </w:t>
      </w:r>
      <w:r w:rsidRPr="00013174">
        <w:rPr>
          <w:rStyle w:val="Emphasis"/>
          <w:color w:val="000000"/>
        </w:rPr>
        <w:t>p</w:t>
      </w:r>
      <w:r w:rsidRPr="00013174">
        <w:rPr>
          <w:color w:val="000000"/>
        </w:rPr>
        <w:t xml:space="preserve">&lt;0.05). After 60 days, the daily weight gain was the highest for the pigs fed the SBM diet (641 </w:t>
      </w:r>
      <w:r w:rsidRPr="00013174">
        <w:rPr>
          <w:color w:val="000000"/>
        </w:rPr>
        <w:lastRenderedPageBreak/>
        <w:t>g/day), which was 1.41%, 3.46% and 17.48% higher than that of the diets with 10%, 20% or 30% CM, respectively. However, the daily weight gain was not significantly different among the diets with SBM and those with 10% or 20% CM (</w:t>
      </w:r>
      <w:r w:rsidRPr="00013174">
        <w:rPr>
          <w:rStyle w:val="Emphasis"/>
          <w:color w:val="000000"/>
        </w:rPr>
        <w:t>p</w:t>
      </w:r>
      <w:r w:rsidRPr="00013174">
        <w:rPr>
          <w:color w:val="000000"/>
        </w:rPr>
        <w:t>&gt;0.05), but the use of 30% CM did significantly reduce daily weight gain compared to the SBM diet (</w:t>
      </w:r>
      <w:r w:rsidRPr="00013174">
        <w:rPr>
          <w:rStyle w:val="Emphasis"/>
          <w:color w:val="000000"/>
        </w:rPr>
        <w:t>p</w:t>
      </w:r>
      <w:r w:rsidRPr="00013174">
        <w:rPr>
          <w:color w:val="000000"/>
        </w:rPr>
        <w:t>&lt;0.05). For the entire trial, feed intake was similar for all treatment groups (Table 6), ranging from 2,052 to 2,067 g/head/day. During the grower phase, the FCR of the SBM group was significantly better than that of the 20% CM and 30% CM groups (</w:t>
      </w:r>
      <w:r w:rsidRPr="00013174">
        <w:rPr>
          <w:rStyle w:val="Emphasis"/>
          <w:color w:val="000000"/>
        </w:rPr>
        <w:t>p</w:t>
      </w:r>
      <w:r w:rsidRPr="00013174">
        <w:rPr>
          <w:color w:val="000000"/>
        </w:rPr>
        <w:t> &lt;0.01), while the FCR of the 10% CM and 20% CM groups bettered that of the 30% CM group. The FCRs for the three CM groups were similar during the finisher phase, but the SBM FCR was significantly better than the 30% CM group during this phase (</w:t>
      </w:r>
      <w:r w:rsidRPr="00013174">
        <w:rPr>
          <w:rStyle w:val="Emphasis"/>
          <w:color w:val="000000"/>
        </w:rPr>
        <w:t>p</w:t>
      </w:r>
      <w:r w:rsidRPr="00013174">
        <w:rPr>
          <w:color w:val="000000"/>
        </w:rPr>
        <w:t>&lt;0.02). No differences in the feed conversion ratio (FCR) were apparent among the diets for the combined growth cycle (20-100 kg) using SBM, 10% or 20% CM (</w:t>
      </w:r>
      <w:r w:rsidRPr="00013174">
        <w:rPr>
          <w:rStyle w:val="Emphasis"/>
          <w:color w:val="000000"/>
        </w:rPr>
        <w:t>p</w:t>
      </w:r>
      <w:r w:rsidRPr="00013174">
        <w:rPr>
          <w:color w:val="000000"/>
        </w:rPr>
        <w:t>&gt;0.05), but the highest inclusion level of CM (30%) resulted in a significantly higher FCR than the other three treatment groups. This led to the conclusion that CM in diets for growing-finishing pigs should not exceed 20%. The higher the ratio of CM in the diet for pigs, the higher the FCR.</w:t>
      </w:r>
    </w:p>
    <w:tbl>
      <w:tblPr>
        <w:tblW w:w="9000" w:type="dxa"/>
        <w:tblCellSpacing w:w="0" w:type="dxa"/>
        <w:tblCellMar>
          <w:left w:w="0" w:type="dxa"/>
          <w:right w:w="0" w:type="dxa"/>
        </w:tblCellMar>
        <w:tblLook w:val="04A0" w:firstRow="1" w:lastRow="0" w:firstColumn="1" w:lastColumn="0" w:noHBand="0" w:noVBand="1"/>
      </w:tblPr>
      <w:tblGrid>
        <w:gridCol w:w="5202"/>
        <w:gridCol w:w="521"/>
        <w:gridCol w:w="572"/>
        <w:gridCol w:w="660"/>
        <w:gridCol w:w="500"/>
        <w:gridCol w:w="540"/>
        <w:gridCol w:w="1005"/>
      </w:tblGrid>
      <w:tr w:rsidR="00005623" w:rsidRPr="00013174" w:rsidTr="00005623">
        <w:trPr>
          <w:tblCellSpacing w:w="0" w:type="dxa"/>
        </w:trPr>
        <w:tc>
          <w:tcPr>
            <w:tcW w:w="0" w:type="auto"/>
            <w:gridSpan w:val="7"/>
            <w:tcBorders>
              <w:bottom w:val="single" w:sz="8" w:space="0" w:color="auto"/>
            </w:tcBorders>
            <w:vAlign w:val="center"/>
            <w:hideMark/>
          </w:tcPr>
          <w:p w:rsidR="00005623" w:rsidRPr="00013174" w:rsidRDefault="00005623" w:rsidP="00005623">
            <w:pPr>
              <w:pStyle w:val="NormalWeb"/>
              <w:jc w:val="both"/>
            </w:pPr>
            <w:r w:rsidRPr="00013174">
              <w:rPr>
                <w:rStyle w:val="Strong"/>
              </w:rPr>
              <w:t>Table 5. </w:t>
            </w:r>
            <w:r w:rsidRPr="00013174">
              <w:t>Body weight and Average Daily Weight Gain</w:t>
            </w:r>
          </w:p>
        </w:tc>
      </w:tr>
      <w:tr w:rsidR="00005623" w:rsidRPr="00013174" w:rsidTr="00005623">
        <w:trPr>
          <w:tblCellSpacing w:w="0" w:type="dxa"/>
        </w:trPr>
        <w:tc>
          <w:tcPr>
            <w:tcW w:w="2700" w:type="dxa"/>
            <w:vMerge w:val="restart"/>
            <w:vAlign w:val="center"/>
            <w:hideMark/>
          </w:tcPr>
          <w:p w:rsidR="00005623" w:rsidRPr="00013174" w:rsidRDefault="00005623" w:rsidP="00005623">
            <w:pPr>
              <w:pStyle w:val="NormalWeb"/>
              <w:jc w:val="both"/>
            </w:pPr>
            <w:r w:rsidRPr="00013174">
              <w:rPr>
                <w:rStyle w:val="Strong"/>
              </w:rPr>
              <w:t>Item</w:t>
            </w:r>
          </w:p>
        </w:tc>
        <w:tc>
          <w:tcPr>
            <w:tcW w:w="0" w:type="auto"/>
            <w:gridSpan w:val="4"/>
            <w:tcBorders>
              <w:bottom w:val="single" w:sz="8" w:space="0" w:color="auto"/>
            </w:tcBorders>
            <w:vAlign w:val="center"/>
            <w:hideMark/>
          </w:tcPr>
          <w:p w:rsidR="00005623" w:rsidRPr="00013174" w:rsidRDefault="00005623" w:rsidP="004E09B8">
            <w:pPr>
              <w:pStyle w:val="NormalWeb"/>
              <w:jc w:val="center"/>
            </w:pPr>
            <w:r w:rsidRPr="00013174">
              <w:rPr>
                <w:rStyle w:val="Strong"/>
              </w:rPr>
              <w:t>Treatments</w:t>
            </w:r>
          </w:p>
        </w:tc>
        <w:tc>
          <w:tcPr>
            <w:tcW w:w="0" w:type="auto"/>
            <w:vMerge w:val="restart"/>
            <w:vAlign w:val="center"/>
            <w:hideMark/>
          </w:tcPr>
          <w:p w:rsidR="00005623" w:rsidRPr="00013174" w:rsidRDefault="004E09B8" w:rsidP="004E09B8">
            <w:pPr>
              <w:pStyle w:val="NormalWeb"/>
              <w:jc w:val="right"/>
            </w:pPr>
            <w:r w:rsidRPr="00013174">
              <w:rPr>
                <w:rStyle w:val="Strong"/>
              </w:rPr>
              <w:t xml:space="preserve">  </w:t>
            </w:r>
            <w:r w:rsidR="00005623" w:rsidRPr="00013174">
              <w:rPr>
                <w:rStyle w:val="Strong"/>
              </w:rPr>
              <w:t>SEM</w:t>
            </w:r>
          </w:p>
        </w:tc>
        <w:tc>
          <w:tcPr>
            <w:tcW w:w="525" w:type="dxa"/>
            <w:vMerge w:val="restart"/>
            <w:vAlign w:val="center"/>
            <w:hideMark/>
          </w:tcPr>
          <w:p w:rsidR="00005623" w:rsidRPr="00013174" w:rsidRDefault="004E09B8" w:rsidP="004E09B8">
            <w:pPr>
              <w:pStyle w:val="NormalWeb"/>
              <w:jc w:val="right"/>
            </w:pPr>
            <w:r w:rsidRPr="00013174">
              <w:rPr>
                <w:rStyle w:val="Emphasis"/>
                <w:b/>
                <w:bCs/>
              </w:rPr>
              <w:t xml:space="preserve">   </w:t>
            </w:r>
            <w:r w:rsidR="00005623" w:rsidRPr="00013174">
              <w:rPr>
                <w:rStyle w:val="Emphasis"/>
                <w:b/>
                <w:bCs/>
              </w:rPr>
              <w:t>p</w:t>
            </w:r>
          </w:p>
        </w:tc>
      </w:tr>
      <w:tr w:rsidR="00005623" w:rsidRPr="00013174" w:rsidTr="00005623">
        <w:trPr>
          <w:tblCellSpacing w:w="0" w:type="dxa"/>
        </w:trPr>
        <w:tc>
          <w:tcPr>
            <w:tcW w:w="0" w:type="auto"/>
            <w:vMerge/>
            <w:vAlign w:val="center"/>
            <w:hideMark/>
          </w:tcPr>
          <w:p w:rsidR="00005623" w:rsidRPr="00013174" w:rsidRDefault="00005623" w:rsidP="00005623">
            <w:pPr>
              <w:jc w:val="both"/>
              <w:rPr>
                <w:rFonts w:ascii="Times New Roman" w:hAnsi="Times New Roman" w:cs="Times New Roman"/>
                <w:sz w:val="24"/>
                <w:szCs w:val="24"/>
              </w:rPr>
            </w:pPr>
          </w:p>
        </w:tc>
        <w:tc>
          <w:tcPr>
            <w:tcW w:w="0" w:type="auto"/>
            <w:vAlign w:val="center"/>
            <w:hideMark/>
          </w:tcPr>
          <w:p w:rsidR="00005623" w:rsidRPr="00013174" w:rsidRDefault="00005623" w:rsidP="00005623">
            <w:pPr>
              <w:pStyle w:val="NormalWeb"/>
              <w:jc w:val="both"/>
            </w:pPr>
            <w:r w:rsidRPr="00013174">
              <w:rPr>
                <w:rStyle w:val="Strong"/>
              </w:rPr>
              <w:t>SBM</w:t>
            </w:r>
          </w:p>
        </w:tc>
        <w:tc>
          <w:tcPr>
            <w:tcW w:w="0" w:type="auto"/>
            <w:vAlign w:val="center"/>
            <w:hideMark/>
          </w:tcPr>
          <w:p w:rsidR="00005623" w:rsidRPr="00013174" w:rsidRDefault="00005623" w:rsidP="00005623">
            <w:pPr>
              <w:pStyle w:val="NormalWeb"/>
              <w:jc w:val="both"/>
            </w:pPr>
            <w:r w:rsidRPr="00013174">
              <w:rPr>
                <w:rStyle w:val="Strong"/>
              </w:rPr>
              <w:t>10% CM</w:t>
            </w:r>
          </w:p>
        </w:tc>
        <w:tc>
          <w:tcPr>
            <w:tcW w:w="0" w:type="auto"/>
            <w:vAlign w:val="center"/>
            <w:hideMark/>
          </w:tcPr>
          <w:p w:rsidR="00005623" w:rsidRPr="00013174" w:rsidRDefault="00005623" w:rsidP="00005623">
            <w:pPr>
              <w:pStyle w:val="NormalWeb"/>
              <w:jc w:val="both"/>
            </w:pPr>
            <w:r w:rsidRPr="00013174">
              <w:rPr>
                <w:rStyle w:val="Strong"/>
              </w:rPr>
              <w:t>17.5% CM</w:t>
            </w:r>
          </w:p>
        </w:tc>
        <w:tc>
          <w:tcPr>
            <w:tcW w:w="0" w:type="auto"/>
            <w:vAlign w:val="center"/>
            <w:hideMark/>
          </w:tcPr>
          <w:p w:rsidR="00005623" w:rsidRPr="00013174" w:rsidRDefault="00005623" w:rsidP="00005623">
            <w:pPr>
              <w:pStyle w:val="NormalWeb"/>
              <w:jc w:val="both"/>
            </w:pPr>
            <w:r w:rsidRPr="00013174">
              <w:rPr>
                <w:rStyle w:val="Strong"/>
              </w:rPr>
              <w:t>25% CM</w:t>
            </w:r>
          </w:p>
        </w:tc>
        <w:tc>
          <w:tcPr>
            <w:tcW w:w="0" w:type="auto"/>
            <w:vMerge/>
            <w:vAlign w:val="center"/>
            <w:hideMark/>
          </w:tcPr>
          <w:p w:rsidR="00005623" w:rsidRPr="00013174" w:rsidRDefault="00005623" w:rsidP="00005623">
            <w:pPr>
              <w:jc w:val="both"/>
              <w:rPr>
                <w:rFonts w:ascii="Times New Roman" w:hAnsi="Times New Roman" w:cs="Times New Roman"/>
                <w:sz w:val="24"/>
                <w:szCs w:val="24"/>
              </w:rPr>
            </w:pPr>
          </w:p>
        </w:tc>
        <w:tc>
          <w:tcPr>
            <w:tcW w:w="0" w:type="auto"/>
            <w:vMerge/>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gridSpan w:val="7"/>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Initial body weight (kg/head)</w:t>
            </w:r>
          </w:p>
        </w:tc>
        <w:tc>
          <w:tcPr>
            <w:tcW w:w="0" w:type="auto"/>
            <w:vAlign w:val="center"/>
            <w:hideMark/>
          </w:tcPr>
          <w:p w:rsidR="00005623" w:rsidRPr="00013174" w:rsidRDefault="00005623" w:rsidP="00005623">
            <w:pPr>
              <w:pStyle w:val="NormalWeb"/>
              <w:jc w:val="both"/>
            </w:pPr>
            <w:r w:rsidRPr="00013174">
              <w:t>25.3</w:t>
            </w:r>
          </w:p>
        </w:tc>
        <w:tc>
          <w:tcPr>
            <w:tcW w:w="0" w:type="auto"/>
            <w:vAlign w:val="center"/>
            <w:hideMark/>
          </w:tcPr>
          <w:p w:rsidR="00005623" w:rsidRPr="00013174" w:rsidRDefault="00005623" w:rsidP="00005623">
            <w:pPr>
              <w:pStyle w:val="NormalWeb"/>
              <w:jc w:val="both"/>
            </w:pPr>
            <w:r w:rsidRPr="00013174">
              <w:t>25.3</w:t>
            </w:r>
          </w:p>
        </w:tc>
        <w:tc>
          <w:tcPr>
            <w:tcW w:w="0" w:type="auto"/>
            <w:vAlign w:val="center"/>
            <w:hideMark/>
          </w:tcPr>
          <w:p w:rsidR="00005623" w:rsidRPr="00013174" w:rsidRDefault="00005623" w:rsidP="00005623">
            <w:pPr>
              <w:pStyle w:val="NormalWeb"/>
              <w:jc w:val="both"/>
            </w:pPr>
            <w:r w:rsidRPr="00013174">
              <w:t>25.2</w:t>
            </w:r>
          </w:p>
        </w:tc>
        <w:tc>
          <w:tcPr>
            <w:tcW w:w="0" w:type="auto"/>
            <w:vAlign w:val="center"/>
            <w:hideMark/>
          </w:tcPr>
          <w:p w:rsidR="00005623" w:rsidRPr="00013174" w:rsidRDefault="00005623" w:rsidP="00005623">
            <w:pPr>
              <w:pStyle w:val="NormalWeb"/>
              <w:jc w:val="both"/>
            </w:pPr>
            <w:r w:rsidRPr="00013174">
              <w:t>25.8</w:t>
            </w:r>
          </w:p>
        </w:tc>
        <w:tc>
          <w:tcPr>
            <w:tcW w:w="0" w:type="auto"/>
            <w:vAlign w:val="center"/>
            <w:hideMark/>
          </w:tcPr>
          <w:p w:rsidR="00005623" w:rsidRPr="00013174" w:rsidRDefault="00005623" w:rsidP="004E09B8">
            <w:pPr>
              <w:pStyle w:val="NormalWeb"/>
              <w:jc w:val="right"/>
            </w:pPr>
            <w:r w:rsidRPr="00013174">
              <w:t>1.49</w:t>
            </w:r>
          </w:p>
        </w:tc>
        <w:tc>
          <w:tcPr>
            <w:tcW w:w="0" w:type="auto"/>
            <w:vAlign w:val="center"/>
            <w:hideMark/>
          </w:tcPr>
          <w:p w:rsidR="00005623" w:rsidRPr="00013174" w:rsidRDefault="00005623" w:rsidP="004E09B8">
            <w:pPr>
              <w:pStyle w:val="NormalWeb"/>
              <w:jc w:val="right"/>
            </w:pPr>
            <w:r w:rsidRPr="00013174">
              <w:t>0.877</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Body weight at 60 days (kg)</w:t>
            </w:r>
          </w:p>
        </w:tc>
        <w:tc>
          <w:tcPr>
            <w:tcW w:w="0" w:type="auto"/>
            <w:vAlign w:val="center"/>
            <w:hideMark/>
          </w:tcPr>
          <w:p w:rsidR="00005623" w:rsidRPr="00013174" w:rsidRDefault="00005623" w:rsidP="00005623">
            <w:pPr>
              <w:pStyle w:val="NormalWeb"/>
              <w:jc w:val="both"/>
            </w:pPr>
            <w:r w:rsidRPr="00013174">
              <w:t>63.8</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63.0</w:t>
            </w:r>
            <w:r w:rsidRPr="00013174">
              <w:rPr>
                <w:vertAlign w:val="superscript"/>
              </w:rPr>
              <w:t>ab</w:t>
            </w:r>
          </w:p>
        </w:tc>
        <w:tc>
          <w:tcPr>
            <w:tcW w:w="0" w:type="auto"/>
            <w:vAlign w:val="center"/>
            <w:hideMark/>
          </w:tcPr>
          <w:p w:rsidR="00005623" w:rsidRPr="00013174" w:rsidRDefault="00005623" w:rsidP="00005623">
            <w:pPr>
              <w:pStyle w:val="NormalWeb"/>
              <w:jc w:val="both"/>
            </w:pPr>
            <w:r w:rsidRPr="00013174">
              <w:t>62.3</w:t>
            </w:r>
            <w:r w:rsidRPr="00013174">
              <w:rPr>
                <w:vertAlign w:val="superscript"/>
              </w:rPr>
              <w:t>ab</w:t>
            </w:r>
          </w:p>
        </w:tc>
        <w:tc>
          <w:tcPr>
            <w:tcW w:w="0" w:type="auto"/>
            <w:vAlign w:val="center"/>
            <w:hideMark/>
          </w:tcPr>
          <w:p w:rsidR="00005623" w:rsidRPr="00013174" w:rsidRDefault="00005623" w:rsidP="00005623">
            <w:pPr>
              <w:pStyle w:val="NormalWeb"/>
              <w:jc w:val="both"/>
            </w:pPr>
            <w:r w:rsidRPr="00013174">
              <w:t>61.5</w:t>
            </w:r>
            <w:r w:rsidRPr="00013174">
              <w:rPr>
                <w:vertAlign w:val="superscript"/>
              </w:rPr>
              <w:t>b</w:t>
            </w:r>
          </w:p>
        </w:tc>
        <w:tc>
          <w:tcPr>
            <w:tcW w:w="0" w:type="auto"/>
            <w:vAlign w:val="center"/>
            <w:hideMark/>
          </w:tcPr>
          <w:p w:rsidR="00005623" w:rsidRPr="00013174" w:rsidRDefault="00005623" w:rsidP="004E09B8">
            <w:pPr>
              <w:pStyle w:val="NormalWeb"/>
              <w:jc w:val="right"/>
            </w:pPr>
            <w:r w:rsidRPr="00013174">
              <w:t>1.27</w:t>
            </w:r>
          </w:p>
        </w:tc>
        <w:tc>
          <w:tcPr>
            <w:tcW w:w="0" w:type="auto"/>
            <w:vAlign w:val="center"/>
            <w:hideMark/>
          </w:tcPr>
          <w:p w:rsidR="00005623" w:rsidRPr="00013174" w:rsidRDefault="00005623" w:rsidP="004E09B8">
            <w:pPr>
              <w:pStyle w:val="NormalWeb"/>
              <w:jc w:val="right"/>
            </w:pPr>
            <w:r w:rsidRPr="00013174">
              <w:t>0.045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Final body weight (Kg)</w:t>
            </w:r>
          </w:p>
        </w:tc>
        <w:tc>
          <w:tcPr>
            <w:tcW w:w="0" w:type="auto"/>
            <w:vAlign w:val="center"/>
            <w:hideMark/>
          </w:tcPr>
          <w:p w:rsidR="00005623" w:rsidRPr="00013174" w:rsidRDefault="00005623" w:rsidP="00005623">
            <w:pPr>
              <w:pStyle w:val="NormalWeb"/>
              <w:jc w:val="both"/>
            </w:pPr>
            <w:r w:rsidRPr="00013174">
              <w:t>104</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102</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100</w:t>
            </w:r>
            <w:r w:rsidRPr="00013174">
              <w:rPr>
                <w:vertAlign w:val="superscript"/>
              </w:rPr>
              <w:t>ab</w:t>
            </w:r>
          </w:p>
        </w:tc>
        <w:tc>
          <w:tcPr>
            <w:tcW w:w="0" w:type="auto"/>
            <w:vAlign w:val="center"/>
            <w:hideMark/>
          </w:tcPr>
          <w:p w:rsidR="00005623" w:rsidRPr="00013174" w:rsidRDefault="00005623" w:rsidP="00005623">
            <w:pPr>
              <w:pStyle w:val="NormalWeb"/>
              <w:jc w:val="both"/>
            </w:pPr>
            <w:r w:rsidRPr="00013174">
              <w:t>96.9</w:t>
            </w:r>
            <w:r w:rsidRPr="00013174">
              <w:rPr>
                <w:vertAlign w:val="superscript"/>
              </w:rPr>
              <w:t>b</w:t>
            </w:r>
          </w:p>
        </w:tc>
        <w:tc>
          <w:tcPr>
            <w:tcW w:w="0" w:type="auto"/>
            <w:vAlign w:val="center"/>
            <w:hideMark/>
          </w:tcPr>
          <w:p w:rsidR="00005623" w:rsidRPr="00013174" w:rsidRDefault="00005623" w:rsidP="004E09B8">
            <w:pPr>
              <w:pStyle w:val="NormalWeb"/>
              <w:jc w:val="right"/>
            </w:pPr>
            <w:r w:rsidRPr="00013174">
              <w:t>2.57</w:t>
            </w:r>
          </w:p>
        </w:tc>
        <w:tc>
          <w:tcPr>
            <w:tcW w:w="0" w:type="auto"/>
            <w:vAlign w:val="center"/>
            <w:hideMark/>
          </w:tcPr>
          <w:p w:rsidR="00005623" w:rsidRPr="00013174" w:rsidRDefault="00005623" w:rsidP="004E09B8">
            <w:pPr>
              <w:pStyle w:val="NormalWeb"/>
              <w:jc w:val="right"/>
            </w:pPr>
            <w:r w:rsidRPr="00013174">
              <w:t>0.001</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*ADG 1 (g/day)</w:t>
            </w:r>
          </w:p>
        </w:tc>
        <w:tc>
          <w:tcPr>
            <w:tcW w:w="0" w:type="auto"/>
            <w:vAlign w:val="center"/>
            <w:hideMark/>
          </w:tcPr>
          <w:p w:rsidR="00005623" w:rsidRPr="00013174" w:rsidRDefault="00005623" w:rsidP="00005623">
            <w:pPr>
              <w:pStyle w:val="NormalWeb"/>
              <w:jc w:val="both"/>
            </w:pPr>
            <w:r w:rsidRPr="00013174">
              <w:t>641</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632</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619</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592</w:t>
            </w:r>
            <w:r w:rsidRPr="00013174">
              <w:rPr>
                <w:vertAlign w:val="superscript"/>
              </w:rPr>
              <w:t>b</w:t>
            </w:r>
          </w:p>
        </w:tc>
        <w:tc>
          <w:tcPr>
            <w:tcW w:w="0" w:type="auto"/>
            <w:vAlign w:val="center"/>
            <w:hideMark/>
          </w:tcPr>
          <w:p w:rsidR="00005623" w:rsidRPr="00013174" w:rsidRDefault="00005623" w:rsidP="004E09B8">
            <w:pPr>
              <w:pStyle w:val="NormalWeb"/>
              <w:jc w:val="right"/>
            </w:pPr>
            <w:r w:rsidRPr="00013174">
              <w:t>16.51</w:t>
            </w:r>
          </w:p>
        </w:tc>
        <w:tc>
          <w:tcPr>
            <w:tcW w:w="0" w:type="auto"/>
            <w:vAlign w:val="center"/>
            <w:hideMark/>
          </w:tcPr>
          <w:p w:rsidR="00005623" w:rsidRPr="00013174" w:rsidRDefault="00005623" w:rsidP="004E09B8">
            <w:pPr>
              <w:pStyle w:val="NormalWeb"/>
              <w:jc w:val="right"/>
            </w:pPr>
            <w:r w:rsidRPr="00013174">
              <w:t>0.000</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ADG 2 (g/day)</w:t>
            </w:r>
          </w:p>
        </w:tc>
        <w:tc>
          <w:tcPr>
            <w:tcW w:w="0" w:type="auto"/>
            <w:vAlign w:val="center"/>
            <w:hideMark/>
          </w:tcPr>
          <w:p w:rsidR="00005623" w:rsidRPr="00013174" w:rsidRDefault="00005623" w:rsidP="00005623">
            <w:pPr>
              <w:pStyle w:val="NormalWeb"/>
              <w:jc w:val="both"/>
            </w:pPr>
            <w:r w:rsidRPr="00013174">
              <w:t>880</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857</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829</w:t>
            </w:r>
            <w:r w:rsidRPr="00013174">
              <w:rPr>
                <w:vertAlign w:val="superscript"/>
              </w:rPr>
              <w:t>ab</w:t>
            </w:r>
          </w:p>
        </w:tc>
        <w:tc>
          <w:tcPr>
            <w:tcW w:w="0" w:type="auto"/>
            <w:vAlign w:val="center"/>
            <w:hideMark/>
          </w:tcPr>
          <w:p w:rsidR="00005623" w:rsidRPr="00013174" w:rsidRDefault="00005623" w:rsidP="00005623">
            <w:pPr>
              <w:pStyle w:val="NormalWeb"/>
              <w:jc w:val="both"/>
            </w:pPr>
            <w:r w:rsidRPr="00013174">
              <w:t>778</w:t>
            </w:r>
            <w:r w:rsidRPr="00013174">
              <w:rPr>
                <w:vertAlign w:val="superscript"/>
              </w:rPr>
              <w:t>b</w:t>
            </w:r>
          </w:p>
        </w:tc>
        <w:tc>
          <w:tcPr>
            <w:tcW w:w="0" w:type="auto"/>
            <w:vAlign w:val="center"/>
            <w:hideMark/>
          </w:tcPr>
          <w:p w:rsidR="00005623" w:rsidRPr="00013174" w:rsidRDefault="00005623" w:rsidP="004E09B8">
            <w:pPr>
              <w:pStyle w:val="NormalWeb"/>
              <w:jc w:val="right"/>
            </w:pPr>
            <w:r w:rsidRPr="00013174">
              <w:t>45.18</w:t>
            </w:r>
          </w:p>
        </w:tc>
        <w:tc>
          <w:tcPr>
            <w:tcW w:w="0" w:type="auto"/>
            <w:vAlign w:val="center"/>
            <w:hideMark/>
          </w:tcPr>
          <w:p w:rsidR="00005623" w:rsidRPr="00013174" w:rsidRDefault="00005623" w:rsidP="004E09B8">
            <w:pPr>
              <w:pStyle w:val="NormalWeb"/>
              <w:jc w:val="right"/>
            </w:pPr>
            <w:r w:rsidRPr="00013174">
              <w:t>0.005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Overall ADG (g/day)</w:t>
            </w:r>
          </w:p>
        </w:tc>
        <w:tc>
          <w:tcPr>
            <w:tcW w:w="0" w:type="auto"/>
            <w:vAlign w:val="center"/>
            <w:hideMark/>
          </w:tcPr>
          <w:p w:rsidR="00005623" w:rsidRPr="00013174" w:rsidRDefault="00005623" w:rsidP="00005623">
            <w:pPr>
              <w:pStyle w:val="NormalWeb"/>
              <w:jc w:val="both"/>
            </w:pPr>
            <w:r w:rsidRPr="00013174">
              <w:t>741</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728</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709</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672</w:t>
            </w:r>
            <w:r w:rsidRPr="00013174">
              <w:rPr>
                <w:vertAlign w:val="superscript"/>
              </w:rPr>
              <w:t>b</w:t>
            </w:r>
          </w:p>
        </w:tc>
        <w:tc>
          <w:tcPr>
            <w:tcW w:w="0" w:type="auto"/>
            <w:vAlign w:val="center"/>
            <w:hideMark/>
          </w:tcPr>
          <w:p w:rsidR="00005623" w:rsidRPr="00013174" w:rsidRDefault="00005623" w:rsidP="004E09B8">
            <w:pPr>
              <w:pStyle w:val="NormalWeb"/>
              <w:jc w:val="right"/>
            </w:pPr>
            <w:r w:rsidRPr="00013174">
              <w:t>21.03</w:t>
            </w:r>
          </w:p>
        </w:tc>
        <w:tc>
          <w:tcPr>
            <w:tcW w:w="0" w:type="auto"/>
            <w:vAlign w:val="center"/>
            <w:hideMark/>
          </w:tcPr>
          <w:p w:rsidR="00005623" w:rsidRPr="00013174" w:rsidRDefault="00005623" w:rsidP="004E09B8">
            <w:pPr>
              <w:pStyle w:val="NormalWeb"/>
              <w:jc w:val="right"/>
            </w:pPr>
            <w:r w:rsidRPr="00013174">
              <w:t>0.000</w:t>
            </w:r>
          </w:p>
        </w:tc>
      </w:tr>
      <w:tr w:rsidR="00005623" w:rsidRPr="00013174" w:rsidTr="00005623">
        <w:trPr>
          <w:tblCellSpacing w:w="0" w:type="dxa"/>
        </w:trPr>
        <w:tc>
          <w:tcPr>
            <w:tcW w:w="0" w:type="auto"/>
            <w:gridSpan w:val="7"/>
            <w:tcBorders>
              <w:top w:val="single" w:sz="8" w:space="0" w:color="auto"/>
            </w:tcBorders>
            <w:vAlign w:val="center"/>
            <w:hideMark/>
          </w:tcPr>
          <w:p w:rsidR="00005623" w:rsidRPr="00013174" w:rsidRDefault="00005623" w:rsidP="00005623">
            <w:pPr>
              <w:pStyle w:val="NormalWeb"/>
              <w:jc w:val="both"/>
            </w:pPr>
            <w:r w:rsidRPr="00013174">
              <w:rPr>
                <w:rStyle w:val="Emphasis"/>
              </w:rPr>
              <w:t>SBM : soybean meal, CM: canola meal , ADG: average daily weight gain </w:t>
            </w:r>
            <w:r w:rsidRPr="00013174">
              <w:rPr>
                <w:rStyle w:val="Emphasis"/>
                <w:vertAlign w:val="superscript"/>
              </w:rPr>
              <w:t>ab </w:t>
            </w:r>
            <w:r w:rsidRPr="00013174">
              <w:rPr>
                <w:rStyle w:val="Emphasis"/>
              </w:rPr>
              <w:t>Means in the same row without common letter are different at p&lt;0.05</w:t>
            </w:r>
          </w:p>
        </w:tc>
      </w:tr>
    </w:tbl>
    <w:p w:rsidR="00005623" w:rsidRPr="00013174" w:rsidRDefault="00005623" w:rsidP="00005623">
      <w:pPr>
        <w:jc w:val="both"/>
        <w:rPr>
          <w:rFonts w:ascii="Times New Roman" w:hAnsi="Times New Roman" w:cs="Times New Roman"/>
          <w:sz w:val="24"/>
          <w:szCs w:val="24"/>
        </w:rPr>
      </w:pPr>
      <w:r w:rsidRPr="00013174">
        <w:rPr>
          <w:rFonts w:ascii="Times New Roman" w:hAnsi="Times New Roman" w:cs="Times New Roman"/>
          <w:color w:val="000000"/>
          <w:sz w:val="24"/>
          <w:szCs w:val="24"/>
        </w:rPr>
        <w:br/>
      </w:r>
    </w:p>
    <w:tbl>
      <w:tblPr>
        <w:tblW w:w="9000" w:type="dxa"/>
        <w:tblCellSpacing w:w="0" w:type="dxa"/>
        <w:tblCellMar>
          <w:left w:w="0" w:type="dxa"/>
          <w:right w:w="0" w:type="dxa"/>
        </w:tblCellMar>
        <w:tblLook w:val="04A0" w:firstRow="1" w:lastRow="0" w:firstColumn="1" w:lastColumn="0" w:noHBand="0" w:noVBand="1"/>
      </w:tblPr>
      <w:tblGrid>
        <w:gridCol w:w="5077"/>
        <w:gridCol w:w="552"/>
        <w:gridCol w:w="572"/>
        <w:gridCol w:w="660"/>
        <w:gridCol w:w="560"/>
        <w:gridCol w:w="540"/>
        <w:gridCol w:w="1039"/>
      </w:tblGrid>
      <w:tr w:rsidR="00005623" w:rsidRPr="00013174" w:rsidTr="00005623">
        <w:trPr>
          <w:tblCellSpacing w:w="0" w:type="dxa"/>
        </w:trPr>
        <w:tc>
          <w:tcPr>
            <w:tcW w:w="0" w:type="auto"/>
            <w:gridSpan w:val="7"/>
            <w:tcBorders>
              <w:bottom w:val="single" w:sz="8" w:space="0" w:color="auto"/>
            </w:tcBorders>
            <w:vAlign w:val="center"/>
            <w:hideMark/>
          </w:tcPr>
          <w:p w:rsidR="00005623" w:rsidRPr="00013174" w:rsidRDefault="00005623" w:rsidP="00005623">
            <w:pPr>
              <w:pStyle w:val="NormalWeb"/>
              <w:jc w:val="both"/>
            </w:pPr>
            <w:r w:rsidRPr="00013174">
              <w:rPr>
                <w:rStyle w:val="Strong"/>
              </w:rPr>
              <w:t>Table 6. </w:t>
            </w:r>
            <w:r w:rsidRPr="00013174">
              <w:t>Feed intake and feed conversion ratio</w:t>
            </w:r>
          </w:p>
        </w:tc>
      </w:tr>
      <w:tr w:rsidR="00005623" w:rsidRPr="00013174" w:rsidTr="00005623">
        <w:trPr>
          <w:tblCellSpacing w:w="0" w:type="dxa"/>
        </w:trPr>
        <w:tc>
          <w:tcPr>
            <w:tcW w:w="2550" w:type="dxa"/>
            <w:vMerge w:val="restart"/>
            <w:vAlign w:val="center"/>
            <w:hideMark/>
          </w:tcPr>
          <w:p w:rsidR="00005623" w:rsidRPr="00013174" w:rsidRDefault="00005623" w:rsidP="00005623">
            <w:pPr>
              <w:pStyle w:val="NormalWeb"/>
              <w:jc w:val="both"/>
            </w:pPr>
            <w:r w:rsidRPr="00013174">
              <w:rPr>
                <w:rStyle w:val="Strong"/>
              </w:rPr>
              <w:t>Item</w:t>
            </w:r>
          </w:p>
        </w:tc>
        <w:tc>
          <w:tcPr>
            <w:tcW w:w="0" w:type="auto"/>
            <w:gridSpan w:val="4"/>
            <w:tcBorders>
              <w:bottom w:val="single" w:sz="8" w:space="0" w:color="auto"/>
            </w:tcBorders>
            <w:vAlign w:val="center"/>
            <w:hideMark/>
          </w:tcPr>
          <w:p w:rsidR="00005623" w:rsidRPr="00013174" w:rsidRDefault="00005623" w:rsidP="00005623">
            <w:pPr>
              <w:pStyle w:val="NormalWeb"/>
              <w:jc w:val="both"/>
            </w:pPr>
            <w:r w:rsidRPr="00013174">
              <w:rPr>
                <w:rStyle w:val="Strong"/>
              </w:rPr>
              <w:t>Treatments</w:t>
            </w:r>
          </w:p>
        </w:tc>
        <w:tc>
          <w:tcPr>
            <w:tcW w:w="0" w:type="auto"/>
            <w:vMerge w:val="restart"/>
            <w:vAlign w:val="center"/>
            <w:hideMark/>
          </w:tcPr>
          <w:p w:rsidR="00005623" w:rsidRPr="00013174" w:rsidRDefault="00005623" w:rsidP="00005623">
            <w:pPr>
              <w:pStyle w:val="NormalWeb"/>
              <w:jc w:val="both"/>
            </w:pPr>
            <w:r w:rsidRPr="00013174">
              <w:rPr>
                <w:rStyle w:val="Strong"/>
              </w:rPr>
              <w:t>SEM</w:t>
            </w:r>
          </w:p>
        </w:tc>
        <w:tc>
          <w:tcPr>
            <w:tcW w:w="525" w:type="dxa"/>
            <w:vMerge w:val="restart"/>
            <w:vAlign w:val="center"/>
            <w:hideMark/>
          </w:tcPr>
          <w:p w:rsidR="00005623" w:rsidRPr="00013174" w:rsidRDefault="00005623" w:rsidP="00005623">
            <w:pPr>
              <w:pStyle w:val="NormalWeb"/>
              <w:jc w:val="both"/>
            </w:pPr>
            <w:r w:rsidRPr="00013174">
              <w:rPr>
                <w:rStyle w:val="Strong"/>
                <w:i/>
                <w:iCs/>
              </w:rPr>
              <w:t>p</w:t>
            </w:r>
          </w:p>
        </w:tc>
      </w:tr>
      <w:tr w:rsidR="00005623" w:rsidRPr="00013174" w:rsidTr="00005623">
        <w:trPr>
          <w:tblCellSpacing w:w="0" w:type="dxa"/>
        </w:trPr>
        <w:tc>
          <w:tcPr>
            <w:tcW w:w="0" w:type="auto"/>
            <w:vMerge/>
            <w:vAlign w:val="center"/>
            <w:hideMark/>
          </w:tcPr>
          <w:p w:rsidR="00005623" w:rsidRPr="00013174" w:rsidRDefault="00005623" w:rsidP="00005623">
            <w:pPr>
              <w:jc w:val="both"/>
              <w:rPr>
                <w:rFonts w:ascii="Times New Roman" w:hAnsi="Times New Roman" w:cs="Times New Roman"/>
                <w:sz w:val="24"/>
                <w:szCs w:val="24"/>
              </w:rPr>
            </w:pPr>
          </w:p>
        </w:tc>
        <w:tc>
          <w:tcPr>
            <w:tcW w:w="0" w:type="auto"/>
            <w:vAlign w:val="center"/>
            <w:hideMark/>
          </w:tcPr>
          <w:p w:rsidR="00005623" w:rsidRPr="00013174" w:rsidRDefault="00005623" w:rsidP="00005623">
            <w:pPr>
              <w:pStyle w:val="NormalWeb"/>
              <w:jc w:val="both"/>
            </w:pPr>
            <w:r w:rsidRPr="00013174">
              <w:rPr>
                <w:rStyle w:val="Strong"/>
              </w:rPr>
              <w:t>SBM</w:t>
            </w:r>
          </w:p>
        </w:tc>
        <w:tc>
          <w:tcPr>
            <w:tcW w:w="0" w:type="auto"/>
            <w:vAlign w:val="center"/>
            <w:hideMark/>
          </w:tcPr>
          <w:p w:rsidR="00005623" w:rsidRPr="00013174" w:rsidRDefault="00005623" w:rsidP="00005623">
            <w:pPr>
              <w:pStyle w:val="NormalWeb"/>
              <w:jc w:val="both"/>
            </w:pPr>
            <w:r w:rsidRPr="00013174">
              <w:rPr>
                <w:rStyle w:val="Strong"/>
              </w:rPr>
              <w:t>10% CM</w:t>
            </w:r>
          </w:p>
        </w:tc>
        <w:tc>
          <w:tcPr>
            <w:tcW w:w="0" w:type="auto"/>
            <w:vAlign w:val="center"/>
            <w:hideMark/>
          </w:tcPr>
          <w:p w:rsidR="00005623" w:rsidRPr="00013174" w:rsidRDefault="00005623" w:rsidP="00005623">
            <w:pPr>
              <w:pStyle w:val="NormalWeb"/>
              <w:jc w:val="both"/>
            </w:pPr>
            <w:r w:rsidRPr="00013174">
              <w:rPr>
                <w:rStyle w:val="Strong"/>
              </w:rPr>
              <w:t>17.5% CM</w:t>
            </w:r>
          </w:p>
        </w:tc>
        <w:tc>
          <w:tcPr>
            <w:tcW w:w="0" w:type="auto"/>
            <w:vAlign w:val="center"/>
            <w:hideMark/>
          </w:tcPr>
          <w:p w:rsidR="00005623" w:rsidRPr="00013174" w:rsidRDefault="00005623" w:rsidP="00005623">
            <w:pPr>
              <w:pStyle w:val="NormalWeb"/>
              <w:jc w:val="both"/>
            </w:pPr>
            <w:r w:rsidRPr="00013174">
              <w:rPr>
                <w:rStyle w:val="Strong"/>
              </w:rPr>
              <w:t>25% CM</w:t>
            </w:r>
          </w:p>
        </w:tc>
        <w:tc>
          <w:tcPr>
            <w:tcW w:w="0" w:type="auto"/>
            <w:vMerge/>
            <w:vAlign w:val="center"/>
            <w:hideMark/>
          </w:tcPr>
          <w:p w:rsidR="00005623" w:rsidRPr="00013174" w:rsidRDefault="00005623" w:rsidP="00005623">
            <w:pPr>
              <w:jc w:val="both"/>
              <w:rPr>
                <w:rFonts w:ascii="Times New Roman" w:hAnsi="Times New Roman" w:cs="Times New Roman"/>
                <w:sz w:val="24"/>
                <w:szCs w:val="24"/>
              </w:rPr>
            </w:pPr>
          </w:p>
        </w:tc>
        <w:tc>
          <w:tcPr>
            <w:tcW w:w="0" w:type="auto"/>
            <w:vMerge/>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gridSpan w:val="7"/>
            <w:tcBorders>
              <w:bottom w:val="single" w:sz="8" w:space="0" w:color="auto"/>
            </w:tcBorders>
            <w:vAlign w:val="center"/>
            <w:hideMark/>
          </w:tcPr>
          <w:p w:rsidR="00005623" w:rsidRPr="00013174" w:rsidRDefault="00005623" w:rsidP="00005623">
            <w:pPr>
              <w:jc w:val="both"/>
              <w:rPr>
                <w:rFonts w:ascii="Times New Roman" w:hAnsi="Times New Roman" w:cs="Times New Roman"/>
                <w:sz w:val="24"/>
                <w:szCs w:val="24"/>
              </w:rPr>
            </w:pP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FI 1 (g/head/day)</w:t>
            </w:r>
          </w:p>
        </w:tc>
        <w:tc>
          <w:tcPr>
            <w:tcW w:w="0" w:type="auto"/>
            <w:vAlign w:val="center"/>
            <w:hideMark/>
          </w:tcPr>
          <w:p w:rsidR="00005623" w:rsidRPr="00013174" w:rsidRDefault="00005623" w:rsidP="00005623">
            <w:pPr>
              <w:pStyle w:val="NormalWeb"/>
              <w:jc w:val="both"/>
            </w:pPr>
            <w:r w:rsidRPr="00013174">
              <w:t>1,685</w:t>
            </w:r>
          </w:p>
        </w:tc>
        <w:tc>
          <w:tcPr>
            <w:tcW w:w="0" w:type="auto"/>
            <w:vAlign w:val="center"/>
            <w:hideMark/>
          </w:tcPr>
          <w:p w:rsidR="00005623" w:rsidRPr="00013174" w:rsidRDefault="00005623" w:rsidP="00005623">
            <w:pPr>
              <w:pStyle w:val="NormalWeb"/>
              <w:jc w:val="both"/>
            </w:pPr>
            <w:r w:rsidRPr="00013174">
              <w:t>1,685</w:t>
            </w:r>
          </w:p>
        </w:tc>
        <w:tc>
          <w:tcPr>
            <w:tcW w:w="0" w:type="auto"/>
            <w:vAlign w:val="center"/>
            <w:hideMark/>
          </w:tcPr>
          <w:p w:rsidR="00005623" w:rsidRPr="00013174" w:rsidRDefault="00005623" w:rsidP="00005623">
            <w:pPr>
              <w:pStyle w:val="NormalWeb"/>
              <w:jc w:val="both"/>
            </w:pPr>
            <w:r w:rsidRPr="00013174">
              <w:t>1,698</w:t>
            </w:r>
          </w:p>
        </w:tc>
        <w:tc>
          <w:tcPr>
            <w:tcW w:w="0" w:type="auto"/>
            <w:vAlign w:val="center"/>
            <w:hideMark/>
          </w:tcPr>
          <w:p w:rsidR="00005623" w:rsidRPr="00013174" w:rsidRDefault="00005623" w:rsidP="00005623">
            <w:pPr>
              <w:pStyle w:val="NormalWeb"/>
              <w:jc w:val="both"/>
            </w:pPr>
            <w:r w:rsidRPr="00013174">
              <w:t>1,699</w:t>
            </w:r>
          </w:p>
        </w:tc>
        <w:tc>
          <w:tcPr>
            <w:tcW w:w="0" w:type="auto"/>
            <w:vAlign w:val="center"/>
            <w:hideMark/>
          </w:tcPr>
          <w:p w:rsidR="00005623" w:rsidRPr="00013174" w:rsidRDefault="00005623" w:rsidP="00005623">
            <w:pPr>
              <w:pStyle w:val="NormalWeb"/>
              <w:jc w:val="both"/>
            </w:pPr>
            <w:r w:rsidRPr="00013174">
              <w:t>28.30</w:t>
            </w:r>
          </w:p>
        </w:tc>
        <w:tc>
          <w:tcPr>
            <w:tcW w:w="0" w:type="auto"/>
            <w:vAlign w:val="center"/>
            <w:hideMark/>
          </w:tcPr>
          <w:p w:rsidR="00005623" w:rsidRPr="00013174" w:rsidRDefault="00005623" w:rsidP="00005623">
            <w:pPr>
              <w:pStyle w:val="NormalWeb"/>
              <w:jc w:val="both"/>
            </w:pPr>
            <w:r w:rsidRPr="00013174">
              <w:t>0.693</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FI 2 (g/head/day)</w:t>
            </w:r>
          </w:p>
        </w:tc>
        <w:tc>
          <w:tcPr>
            <w:tcW w:w="0" w:type="auto"/>
            <w:vAlign w:val="center"/>
            <w:hideMark/>
          </w:tcPr>
          <w:p w:rsidR="00005623" w:rsidRPr="00013174" w:rsidRDefault="00005623" w:rsidP="00005623">
            <w:pPr>
              <w:pStyle w:val="NormalWeb"/>
              <w:jc w:val="both"/>
            </w:pPr>
            <w:r w:rsidRPr="00013174">
              <w:t>2585</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2587</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2538</w:t>
            </w:r>
            <w:r w:rsidRPr="00013174">
              <w:rPr>
                <w:vertAlign w:val="superscript"/>
              </w:rPr>
              <w:t>ab</w:t>
            </w:r>
          </w:p>
        </w:tc>
        <w:tc>
          <w:tcPr>
            <w:tcW w:w="0" w:type="auto"/>
            <w:vAlign w:val="center"/>
            <w:hideMark/>
          </w:tcPr>
          <w:p w:rsidR="00005623" w:rsidRPr="00013174" w:rsidRDefault="00005623" w:rsidP="00005623">
            <w:pPr>
              <w:pStyle w:val="NormalWeb"/>
              <w:jc w:val="both"/>
            </w:pPr>
            <w:r w:rsidRPr="00013174">
              <w:t>2529</w:t>
            </w:r>
            <w:r w:rsidRPr="00013174">
              <w:rPr>
                <w:vertAlign w:val="superscript"/>
              </w:rPr>
              <w:t>b</w:t>
            </w:r>
          </w:p>
        </w:tc>
        <w:tc>
          <w:tcPr>
            <w:tcW w:w="0" w:type="auto"/>
            <w:vAlign w:val="center"/>
            <w:hideMark/>
          </w:tcPr>
          <w:p w:rsidR="00005623" w:rsidRPr="00013174" w:rsidRDefault="00005623" w:rsidP="00005623">
            <w:pPr>
              <w:pStyle w:val="NormalWeb"/>
              <w:jc w:val="both"/>
            </w:pPr>
            <w:r w:rsidRPr="00013174">
              <w:t>25.48</w:t>
            </w:r>
          </w:p>
        </w:tc>
        <w:tc>
          <w:tcPr>
            <w:tcW w:w="0" w:type="auto"/>
            <w:vAlign w:val="center"/>
            <w:hideMark/>
          </w:tcPr>
          <w:p w:rsidR="00005623" w:rsidRPr="00013174" w:rsidRDefault="00005623" w:rsidP="00005623">
            <w:pPr>
              <w:pStyle w:val="NormalWeb"/>
              <w:jc w:val="both"/>
            </w:pPr>
            <w:r w:rsidRPr="00013174">
              <w:t>0.002</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Overall FI (g/head/day)</w:t>
            </w:r>
          </w:p>
        </w:tc>
        <w:tc>
          <w:tcPr>
            <w:tcW w:w="0" w:type="auto"/>
            <w:vAlign w:val="center"/>
            <w:hideMark/>
          </w:tcPr>
          <w:p w:rsidR="00005623" w:rsidRPr="00013174" w:rsidRDefault="00005623" w:rsidP="00005623">
            <w:pPr>
              <w:pStyle w:val="NormalWeb"/>
              <w:jc w:val="both"/>
            </w:pPr>
            <w:r w:rsidRPr="00013174">
              <w:t>2,064</w:t>
            </w:r>
          </w:p>
        </w:tc>
        <w:tc>
          <w:tcPr>
            <w:tcW w:w="0" w:type="auto"/>
            <w:vAlign w:val="center"/>
            <w:hideMark/>
          </w:tcPr>
          <w:p w:rsidR="00005623" w:rsidRPr="00013174" w:rsidRDefault="00005623" w:rsidP="00005623">
            <w:pPr>
              <w:pStyle w:val="NormalWeb"/>
              <w:jc w:val="both"/>
            </w:pPr>
            <w:r w:rsidRPr="00013174">
              <w:t>2,067</w:t>
            </w:r>
          </w:p>
        </w:tc>
        <w:tc>
          <w:tcPr>
            <w:tcW w:w="0" w:type="auto"/>
            <w:vAlign w:val="center"/>
            <w:hideMark/>
          </w:tcPr>
          <w:p w:rsidR="00005623" w:rsidRPr="00013174" w:rsidRDefault="00005623" w:rsidP="00005623">
            <w:pPr>
              <w:pStyle w:val="NormalWeb"/>
              <w:jc w:val="both"/>
            </w:pPr>
            <w:r w:rsidRPr="00013174">
              <w:t>2,062</w:t>
            </w:r>
          </w:p>
        </w:tc>
        <w:tc>
          <w:tcPr>
            <w:tcW w:w="0" w:type="auto"/>
            <w:vAlign w:val="center"/>
            <w:hideMark/>
          </w:tcPr>
          <w:p w:rsidR="00005623" w:rsidRPr="00013174" w:rsidRDefault="00005623" w:rsidP="00005623">
            <w:pPr>
              <w:pStyle w:val="NormalWeb"/>
              <w:jc w:val="both"/>
            </w:pPr>
            <w:r w:rsidRPr="00013174">
              <w:t>2,052</w:t>
            </w:r>
          </w:p>
        </w:tc>
        <w:tc>
          <w:tcPr>
            <w:tcW w:w="0" w:type="auto"/>
            <w:vAlign w:val="center"/>
            <w:hideMark/>
          </w:tcPr>
          <w:p w:rsidR="00005623" w:rsidRPr="00013174" w:rsidRDefault="00005623" w:rsidP="00005623">
            <w:pPr>
              <w:pStyle w:val="NormalWeb"/>
              <w:jc w:val="both"/>
            </w:pPr>
            <w:r w:rsidRPr="00013174">
              <w:t>19.18</w:t>
            </w:r>
          </w:p>
        </w:tc>
        <w:tc>
          <w:tcPr>
            <w:tcW w:w="0" w:type="auto"/>
            <w:vAlign w:val="center"/>
            <w:hideMark/>
          </w:tcPr>
          <w:p w:rsidR="00005623" w:rsidRPr="00013174" w:rsidRDefault="00005623" w:rsidP="00005623">
            <w:pPr>
              <w:pStyle w:val="NormalWeb"/>
              <w:jc w:val="both"/>
            </w:pPr>
            <w:r w:rsidRPr="00013174">
              <w:t>0.555</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FCR 1 (kg FI/kg WG)</w:t>
            </w:r>
          </w:p>
        </w:tc>
        <w:tc>
          <w:tcPr>
            <w:tcW w:w="0" w:type="auto"/>
            <w:vAlign w:val="center"/>
            <w:hideMark/>
          </w:tcPr>
          <w:p w:rsidR="00005623" w:rsidRPr="00013174" w:rsidRDefault="00005623" w:rsidP="00005623">
            <w:pPr>
              <w:pStyle w:val="NormalWeb"/>
              <w:jc w:val="both"/>
            </w:pPr>
            <w:r w:rsidRPr="00013174">
              <w:t>2.65</w:t>
            </w:r>
            <w:r w:rsidRPr="00013174">
              <w:rPr>
                <w:vertAlign w:val="superscript"/>
              </w:rPr>
              <w:t>c</w:t>
            </w:r>
          </w:p>
        </w:tc>
        <w:tc>
          <w:tcPr>
            <w:tcW w:w="0" w:type="auto"/>
            <w:vAlign w:val="center"/>
            <w:hideMark/>
          </w:tcPr>
          <w:p w:rsidR="00005623" w:rsidRPr="00013174" w:rsidRDefault="00005623" w:rsidP="00005623">
            <w:pPr>
              <w:pStyle w:val="NormalWeb"/>
              <w:jc w:val="both"/>
            </w:pPr>
            <w:r w:rsidRPr="00013174">
              <w:t>2.67</w:t>
            </w:r>
            <w:r w:rsidRPr="00013174">
              <w:rPr>
                <w:vertAlign w:val="superscript"/>
              </w:rPr>
              <w:t>bc</w:t>
            </w:r>
          </w:p>
        </w:tc>
        <w:tc>
          <w:tcPr>
            <w:tcW w:w="0" w:type="auto"/>
            <w:vAlign w:val="center"/>
            <w:hideMark/>
          </w:tcPr>
          <w:p w:rsidR="00005623" w:rsidRPr="00013174" w:rsidRDefault="00005623" w:rsidP="00005623">
            <w:pPr>
              <w:pStyle w:val="NormalWeb"/>
              <w:jc w:val="both"/>
            </w:pPr>
            <w:r w:rsidRPr="00013174">
              <w:t>2.74</w:t>
            </w:r>
            <w:r w:rsidRPr="00013174">
              <w:rPr>
                <w:vertAlign w:val="superscript"/>
              </w:rPr>
              <w:t>b</w:t>
            </w:r>
          </w:p>
        </w:tc>
        <w:tc>
          <w:tcPr>
            <w:tcW w:w="0" w:type="auto"/>
            <w:vAlign w:val="center"/>
            <w:hideMark/>
          </w:tcPr>
          <w:p w:rsidR="00005623" w:rsidRPr="00013174" w:rsidRDefault="00005623" w:rsidP="00005623">
            <w:pPr>
              <w:pStyle w:val="NormalWeb"/>
              <w:jc w:val="both"/>
            </w:pPr>
            <w:r w:rsidRPr="00013174">
              <w:t>2.86</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0.06</w:t>
            </w:r>
          </w:p>
        </w:tc>
        <w:tc>
          <w:tcPr>
            <w:tcW w:w="0" w:type="auto"/>
            <w:vAlign w:val="center"/>
            <w:hideMark/>
          </w:tcPr>
          <w:p w:rsidR="00005623" w:rsidRPr="00013174" w:rsidRDefault="00005623" w:rsidP="00005623">
            <w:pPr>
              <w:pStyle w:val="NormalWeb"/>
              <w:jc w:val="both"/>
            </w:pPr>
            <w:r w:rsidRPr="00013174">
              <w:t>0.001</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FCR 2 (kg FI/kg WG)</w:t>
            </w:r>
          </w:p>
        </w:tc>
        <w:tc>
          <w:tcPr>
            <w:tcW w:w="0" w:type="auto"/>
            <w:vAlign w:val="center"/>
            <w:hideMark/>
          </w:tcPr>
          <w:p w:rsidR="00005623" w:rsidRPr="00013174" w:rsidRDefault="00005623" w:rsidP="00005623">
            <w:pPr>
              <w:pStyle w:val="NormalWeb"/>
              <w:jc w:val="both"/>
            </w:pPr>
            <w:r w:rsidRPr="00013174">
              <w:t>2.94</w:t>
            </w:r>
            <w:r w:rsidRPr="00013174">
              <w:rPr>
                <w:vertAlign w:val="superscript"/>
              </w:rPr>
              <w:t>b</w:t>
            </w:r>
          </w:p>
        </w:tc>
        <w:tc>
          <w:tcPr>
            <w:tcW w:w="0" w:type="auto"/>
            <w:vAlign w:val="center"/>
            <w:hideMark/>
          </w:tcPr>
          <w:p w:rsidR="00005623" w:rsidRPr="00013174" w:rsidRDefault="00005623" w:rsidP="00005623">
            <w:pPr>
              <w:pStyle w:val="NormalWeb"/>
              <w:jc w:val="both"/>
            </w:pPr>
            <w:r w:rsidRPr="00013174">
              <w:t>3.01</w:t>
            </w:r>
            <w:r w:rsidRPr="00013174">
              <w:rPr>
                <w:vertAlign w:val="superscript"/>
              </w:rPr>
              <w:t>ab</w:t>
            </w:r>
          </w:p>
        </w:tc>
        <w:tc>
          <w:tcPr>
            <w:tcW w:w="0" w:type="auto"/>
            <w:vAlign w:val="center"/>
            <w:hideMark/>
          </w:tcPr>
          <w:p w:rsidR="00005623" w:rsidRPr="00013174" w:rsidRDefault="00005623" w:rsidP="00005623">
            <w:pPr>
              <w:pStyle w:val="NormalWeb"/>
              <w:jc w:val="both"/>
            </w:pPr>
            <w:r w:rsidRPr="00013174">
              <w:t>3.06</w:t>
            </w:r>
            <w:r w:rsidRPr="00013174">
              <w:rPr>
                <w:vertAlign w:val="superscript"/>
              </w:rPr>
              <w:t>ab</w:t>
            </w:r>
          </w:p>
        </w:tc>
        <w:tc>
          <w:tcPr>
            <w:tcW w:w="0" w:type="auto"/>
            <w:vAlign w:val="center"/>
            <w:hideMark/>
          </w:tcPr>
          <w:p w:rsidR="00005623" w:rsidRPr="00013174" w:rsidRDefault="00005623" w:rsidP="00005623">
            <w:pPr>
              <w:pStyle w:val="NormalWeb"/>
              <w:jc w:val="both"/>
            </w:pPr>
            <w:r w:rsidRPr="00013174">
              <w:t>3.26</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0.15</w:t>
            </w:r>
          </w:p>
        </w:tc>
        <w:tc>
          <w:tcPr>
            <w:tcW w:w="0" w:type="auto"/>
            <w:vAlign w:val="center"/>
            <w:hideMark/>
          </w:tcPr>
          <w:p w:rsidR="00005623" w:rsidRPr="00013174" w:rsidRDefault="00005623" w:rsidP="00005623">
            <w:pPr>
              <w:pStyle w:val="NormalWeb"/>
              <w:jc w:val="both"/>
            </w:pPr>
            <w:r w:rsidRPr="00013174">
              <w:t>0.013</w:t>
            </w:r>
          </w:p>
        </w:tc>
      </w:tr>
      <w:tr w:rsidR="00005623" w:rsidRPr="00013174" w:rsidTr="00005623">
        <w:trPr>
          <w:tblCellSpacing w:w="0" w:type="dxa"/>
        </w:trPr>
        <w:tc>
          <w:tcPr>
            <w:tcW w:w="0" w:type="auto"/>
            <w:vAlign w:val="center"/>
            <w:hideMark/>
          </w:tcPr>
          <w:p w:rsidR="00005623" w:rsidRPr="00013174" w:rsidRDefault="00005623" w:rsidP="00005623">
            <w:pPr>
              <w:pStyle w:val="NormalWeb"/>
              <w:jc w:val="both"/>
            </w:pPr>
            <w:r w:rsidRPr="00013174">
              <w:t>Overall FCR (kg FI/kg WG)</w:t>
            </w:r>
          </w:p>
        </w:tc>
        <w:tc>
          <w:tcPr>
            <w:tcW w:w="0" w:type="auto"/>
            <w:vAlign w:val="center"/>
            <w:hideMark/>
          </w:tcPr>
          <w:p w:rsidR="00005623" w:rsidRPr="00013174" w:rsidRDefault="00005623" w:rsidP="00005623">
            <w:pPr>
              <w:pStyle w:val="NormalWeb"/>
              <w:jc w:val="both"/>
            </w:pPr>
            <w:r w:rsidRPr="00013174">
              <w:t>2.79</w:t>
            </w:r>
            <w:r w:rsidRPr="00013174">
              <w:rPr>
                <w:vertAlign w:val="superscript"/>
              </w:rPr>
              <w:t>b</w:t>
            </w:r>
          </w:p>
        </w:tc>
        <w:tc>
          <w:tcPr>
            <w:tcW w:w="0" w:type="auto"/>
            <w:vAlign w:val="center"/>
            <w:hideMark/>
          </w:tcPr>
          <w:p w:rsidR="00005623" w:rsidRPr="00013174" w:rsidRDefault="00005623" w:rsidP="00005623">
            <w:pPr>
              <w:pStyle w:val="NormalWeb"/>
              <w:jc w:val="both"/>
            </w:pPr>
            <w:r w:rsidRPr="00013174">
              <w:t>2.84</w:t>
            </w:r>
            <w:r w:rsidRPr="00013174">
              <w:rPr>
                <w:vertAlign w:val="superscript"/>
              </w:rPr>
              <w:t>b</w:t>
            </w:r>
          </w:p>
        </w:tc>
        <w:tc>
          <w:tcPr>
            <w:tcW w:w="0" w:type="auto"/>
            <w:vAlign w:val="center"/>
            <w:hideMark/>
          </w:tcPr>
          <w:p w:rsidR="00005623" w:rsidRPr="00013174" w:rsidRDefault="00005623" w:rsidP="00005623">
            <w:pPr>
              <w:pStyle w:val="NormalWeb"/>
              <w:jc w:val="both"/>
            </w:pPr>
            <w:r w:rsidRPr="00013174">
              <w:t>2.90</w:t>
            </w:r>
            <w:r w:rsidRPr="00013174">
              <w:rPr>
                <w:vertAlign w:val="superscript"/>
              </w:rPr>
              <w:t>b</w:t>
            </w:r>
          </w:p>
        </w:tc>
        <w:tc>
          <w:tcPr>
            <w:tcW w:w="0" w:type="auto"/>
            <w:vAlign w:val="center"/>
            <w:hideMark/>
          </w:tcPr>
          <w:p w:rsidR="00005623" w:rsidRPr="00013174" w:rsidRDefault="00005623" w:rsidP="00005623">
            <w:pPr>
              <w:pStyle w:val="NormalWeb"/>
              <w:jc w:val="both"/>
            </w:pPr>
            <w:r w:rsidRPr="00013174">
              <w:t>3.06</w:t>
            </w:r>
            <w:r w:rsidRPr="00013174">
              <w:rPr>
                <w:vertAlign w:val="superscript"/>
              </w:rPr>
              <w:t>a</w:t>
            </w:r>
          </w:p>
        </w:tc>
        <w:tc>
          <w:tcPr>
            <w:tcW w:w="0" w:type="auto"/>
            <w:vAlign w:val="center"/>
            <w:hideMark/>
          </w:tcPr>
          <w:p w:rsidR="00005623" w:rsidRPr="00013174" w:rsidRDefault="00005623" w:rsidP="00005623">
            <w:pPr>
              <w:pStyle w:val="NormalWeb"/>
              <w:jc w:val="both"/>
            </w:pPr>
            <w:r w:rsidRPr="00013174">
              <w:t>0.08</w:t>
            </w:r>
          </w:p>
        </w:tc>
        <w:tc>
          <w:tcPr>
            <w:tcW w:w="0" w:type="auto"/>
            <w:vAlign w:val="center"/>
            <w:hideMark/>
          </w:tcPr>
          <w:p w:rsidR="00005623" w:rsidRPr="00013174" w:rsidRDefault="00005623" w:rsidP="00005623">
            <w:pPr>
              <w:pStyle w:val="NormalWeb"/>
              <w:jc w:val="both"/>
            </w:pPr>
            <w:r w:rsidRPr="00013174">
              <w:t>0.001</w:t>
            </w:r>
          </w:p>
        </w:tc>
      </w:tr>
      <w:tr w:rsidR="00005623" w:rsidRPr="00013174" w:rsidTr="00005623">
        <w:trPr>
          <w:tblCellSpacing w:w="0" w:type="dxa"/>
        </w:trPr>
        <w:tc>
          <w:tcPr>
            <w:tcW w:w="0" w:type="auto"/>
            <w:gridSpan w:val="7"/>
            <w:tcBorders>
              <w:top w:val="single" w:sz="8" w:space="0" w:color="auto"/>
            </w:tcBorders>
            <w:vAlign w:val="center"/>
            <w:hideMark/>
          </w:tcPr>
          <w:p w:rsidR="00005623" w:rsidRPr="00013174" w:rsidRDefault="00005623" w:rsidP="00005623">
            <w:pPr>
              <w:pStyle w:val="NormalWeb"/>
              <w:jc w:val="both"/>
            </w:pPr>
            <w:r w:rsidRPr="00013174">
              <w:rPr>
                <w:rStyle w:val="Emphasis"/>
              </w:rPr>
              <w:t>SBM : soybean meal, CM: canola meal, FI: feed intake, FCR: feed conversion ratio </w:t>
            </w:r>
            <w:r w:rsidRPr="00013174">
              <w:rPr>
                <w:rStyle w:val="Emphasis"/>
                <w:vertAlign w:val="superscript"/>
              </w:rPr>
              <w:t>abc </w:t>
            </w:r>
            <w:r w:rsidRPr="00013174">
              <w:rPr>
                <w:rStyle w:val="Emphasis"/>
              </w:rPr>
              <w:t>Means in the same row without common letter are different at p&lt;0.05</w:t>
            </w:r>
          </w:p>
        </w:tc>
      </w:tr>
    </w:tbl>
    <w:p w:rsidR="00013174" w:rsidRDefault="00005623" w:rsidP="00005623">
      <w:pPr>
        <w:pStyle w:val="Heading4"/>
        <w:jc w:val="both"/>
        <w:rPr>
          <w:color w:val="000000"/>
        </w:rPr>
      </w:pPr>
      <w:r w:rsidRPr="00013174">
        <w:rPr>
          <w:color w:val="000000"/>
        </w:rPr>
        <w:br/>
      </w:r>
    </w:p>
    <w:p w:rsidR="00005623" w:rsidRPr="00013174" w:rsidRDefault="00005623" w:rsidP="00005623">
      <w:pPr>
        <w:pStyle w:val="Heading4"/>
        <w:jc w:val="both"/>
        <w:rPr>
          <w:color w:val="000000"/>
        </w:rPr>
      </w:pPr>
      <w:r w:rsidRPr="00013174">
        <w:rPr>
          <w:color w:val="000000"/>
        </w:rPr>
        <w:lastRenderedPageBreak/>
        <w:t>Discussion</w:t>
      </w:r>
    </w:p>
    <w:p w:rsidR="00005623" w:rsidRPr="00013174" w:rsidRDefault="00005623" w:rsidP="00005623">
      <w:pPr>
        <w:pStyle w:val="NormalWeb"/>
        <w:jc w:val="both"/>
        <w:rPr>
          <w:color w:val="000000"/>
        </w:rPr>
      </w:pPr>
      <w:r w:rsidRPr="00013174">
        <w:rPr>
          <w:color w:val="000000"/>
        </w:rPr>
        <w:t>Canola is now Canada’s most important cash crop, surpassing even wheat, with ~8.15 million hectares planted each growing season. It is grown primarily for its oil content (~44%), but after extraction of the oil, the remaining solids are processed into a high protein meal that is an excellent source of nutrients for livestock and aquatic species. Canola was derived from the rapeseed plant (</w:t>
      </w:r>
      <w:r w:rsidRPr="00013174">
        <w:rPr>
          <w:rStyle w:val="Emphasis"/>
          <w:color w:val="000000"/>
        </w:rPr>
        <w:t>Brassica napus</w:t>
      </w:r>
      <w:r w:rsidRPr="00013174">
        <w:rPr>
          <w:color w:val="000000"/>
        </w:rPr>
        <w:t> and </w:t>
      </w:r>
      <w:r w:rsidRPr="00013174">
        <w:rPr>
          <w:rStyle w:val="Emphasis"/>
          <w:color w:val="000000"/>
        </w:rPr>
        <w:t>Brassica campestris/rapa</w:t>
      </w:r>
      <w:r w:rsidRPr="00013174">
        <w:rPr>
          <w:color w:val="000000"/>
        </w:rPr>
        <w:t>) through traditional plant breeding techniques. It was designed to have low levels of erucic acid (&lt; 2%) in the oil and low levels of GLS (&lt;30 µmol/g) in the meal component, whereas traditional rapeseed, which is still grown in India and elsewhere, may have 35.7–51.4% erucic acid in the oil and 49.9–120.3 μmol/g GLS in the defatted meal (Chauhan et al 2007). GLS were reduced in canola due to their negative impact on palatability and their toxic effect on several livestock species. Canola meal produced from Canadian canola seed contains very low levels of anti-nutritional compounds, with an average GLS content 4.6 μmol/g (Adewole et al 2016). This low value means that when combined with proper diet formulation, CM can be included in rations at much higher levels than can RSM. Despite this, Canadian CM is often mistaken for RSM in the market place. The GLS in CM have generally been considered to have a negative influence on feed intake in pigs. Besides their anti-nutritive effects, GLS have a bitter taste to many animals. However, CM produced from low GLS seed grown in Canada has a neutral taste, meaning that reduced feed intake is no longer an issue even when high levels of Canadian CM are fed. This was evident in the present study (Table 6), as only at the highest level of CM inclusion during the finisher period (CM=25%) was there a small (2.2%) but significant decrease in feed intake. However, over the entire grower-finisher period (20-100 kg), feed intake was equivalent across all treatments. The maximum tolerable level of GLS in swine diets has yet to be determined, and Canadian plant breeders continue to focus on further reducing GLS in canola seed. The current levels of GLS in Canadian canola seed varieties do not appear limiting for CM inclusion in grower-finisher diets. As an example, Smit et al 2014a demonstrated that grower-finisher pigs perform well on diets containing up to 30% CM. Where traditional rapeseed and canola-quality meal are clearly differentiated (i.e., North America, Europe, Australia), CM is accepted in monogastric and ruminant species at relatively high inclusion levels. In contrast, in most parts of Asia, CM is considered little better than RSM as an alternative protein and energy source to SBM. Even non-nutritional factors, such as the darker color of CM than SBM, is considered a limiting factor to the inclusion of CM. This has led to restriction of CM use to the aquaculture industry, where it may be broad cast into fish ponds rather than included into feed formulations. Use of CM in swine, poultry or cattle feeds in Asia is the exception rather than the rule.</w:t>
      </w:r>
    </w:p>
    <w:p w:rsidR="00005623" w:rsidRPr="00013174" w:rsidRDefault="00005623" w:rsidP="00005623">
      <w:pPr>
        <w:pStyle w:val="NormalWeb"/>
        <w:jc w:val="both"/>
        <w:rPr>
          <w:color w:val="000000"/>
        </w:rPr>
      </w:pPr>
      <w:r w:rsidRPr="00013174">
        <w:rPr>
          <w:color w:val="000000"/>
        </w:rPr>
        <w:t xml:space="preserve">Nevertheless, CM is well accepted by swine, and with proper diet formulation to account for the diminished digestibility of energy and amino acids (AA) compared to SBM, it can be included in diets at increasingly high levels during all growth phases. Due to the higher crude fiber content of CM than in either non-dehulled or dehulled SBM, it is necessary to balance swine rations for digestible amino acids, rather than total amino acids, and for metabolizable energy (ME) or net energy (NE) rather than digestible energy (DE). The digestibility of key AA in CM is lower than in SBM. As a result, when CM replaces SBM in the diet, the overall levels of digestible AA, especially lysine and threonine, will decrease if the diet is balanced to total rather than digestible AA. In developed markets, swine diets are formulated to levels of digestible AA. A number of recent swine feeding trials demonstrated equivalent growth rates compared to SBM control diets, </w:t>
      </w:r>
      <w:r w:rsidRPr="00013174">
        <w:rPr>
          <w:color w:val="000000"/>
        </w:rPr>
        <w:lastRenderedPageBreak/>
        <w:t>even at quite high CM levels, when the diets were balanced for digestible lysine (Sanjayan et al 2014, Landero et al 2012, Landero et al 2011, Smit et al 2014a, Smit et al 2014b).</w:t>
      </w:r>
    </w:p>
    <w:p w:rsidR="00005623" w:rsidRPr="00013174" w:rsidRDefault="00005623" w:rsidP="00005623">
      <w:pPr>
        <w:pStyle w:val="NormalWeb"/>
        <w:jc w:val="both"/>
        <w:rPr>
          <w:color w:val="000000"/>
        </w:rPr>
      </w:pPr>
      <w:r w:rsidRPr="00013174">
        <w:rPr>
          <w:color w:val="000000"/>
        </w:rPr>
        <w:t>In Vietnam, it is not common practice to balance swine rations for digestible AA or for NE. Larger feed mills and integrated swine farms do formulate to ME, and the leading integrators and feed mills (usually multi-national companies) will adjust their formulas for differences in AA digestibility. However, the domestic swine sector is still dominated by small back-yard farms that are serviced by smaller feed mills, which do not adjust for differences in nutrient digestibility in the feed ingredients that it utilizes. Therefore, in this study, no attempt was made to adjust the experimental rations for AA digestibility. CM is considered to be an inferior source of energy for swine diets compared to SBM due to its higher crude fiber content, which limits nutrient digestibility. However, in a NE system, the lower protein content of CM than in SBM improves its acceptance level in feed formulations. In this trial, the control and experimental diets were balanced to equivalent ME levels, which is the standard practice in Vietnam. DE, ME and NE Energy values published by NRC 2012 are 3,273; 3,013 and 1,890Kcal/kg, respectively and are based on historical information. Recently, Maison et al 2015 determined DE values of 3,378 Mcal/kg of dry matter and 3,127 Mcal/kg of dry matter for the ME for CM. In this study, despite a borderline deficiency of lysine as the inclusion level of CM increased from 0 to 30% (lysine is the limiting amino acid in maize-soybean meal diets, and lysine is both lower on a total basis in CM than in SBM and more poorly digested (Canola Council of Canada, 2015), the CM fed animals in the grower group exhibited comparable performance to the SBM fed animals up to 20% CM inclusion. This is a considerably higher level of CM than would normally be fed in Vietnam to grower pigs, if at all. Only at a 30% inclusion rate did performance suffer relative to the SBM fed animals. This study and others clearly demonstrate that diets containing CM at relatively high levels will support excellent growth performance in swine. Several studies have shown that when grower and finisher diets are balanced for NE and standard ileal digestible AA levels, performance is the same as with SBM, up to 25% CM inclusion (Brand et al 2001; Raj et al 2000; Siljander-Rasi et al 1996; Roth-Maier 2004). Smit et al 2014b fed grower-finisher pigs (initial weight of 29.9 kg) five-phase diets containing varying levels of CM up to 24%, while also including 15% dried distillers’ grains with solubles in all diets. The pigs fed the 24% CM reached market weight three days later than did those fed the 6% CM, but there were no differences in carcass traits. Smit et al 2014a then fed grower-finisher pigs up to 30% CM and found a slight reduction in performance and carcass traits between the 20% CM group and the 30% CM group, but feed efficiency was improved in the latter group.</w:t>
      </w:r>
    </w:p>
    <w:p w:rsidR="00005623" w:rsidRPr="00013174" w:rsidRDefault="00005623" w:rsidP="00005623">
      <w:pPr>
        <w:pStyle w:val="NormalWeb"/>
        <w:jc w:val="both"/>
        <w:rPr>
          <w:color w:val="000000"/>
        </w:rPr>
      </w:pPr>
      <w:r w:rsidRPr="00013174">
        <w:rPr>
          <w:color w:val="000000"/>
        </w:rPr>
        <w:t>The relationship between cost and nutrient content of a feed ingredient (plus any pre-determined restrictions or mandated levels) will determine the level of inclusion of the ingredient in a well formulated, least-cost ration. Therefore, it is critical to have the most accurate information possible on the digestibility of the AA in CM in the species being fed, as well as the digestibility of AA in other ingredients that are normally fed.</w:t>
      </w:r>
    </w:p>
    <w:p w:rsidR="00005623" w:rsidRPr="00013174" w:rsidRDefault="00005623" w:rsidP="00005623">
      <w:pPr>
        <w:pStyle w:val="Heading4"/>
        <w:jc w:val="both"/>
        <w:rPr>
          <w:color w:val="000000"/>
        </w:rPr>
      </w:pPr>
      <w:r w:rsidRPr="00013174">
        <w:rPr>
          <w:color w:val="000000"/>
        </w:rPr>
        <w:t>Conclusion</w:t>
      </w:r>
    </w:p>
    <w:p w:rsidR="00005623" w:rsidRPr="00013174" w:rsidRDefault="00005623" w:rsidP="00005623">
      <w:pPr>
        <w:numPr>
          <w:ilvl w:val="0"/>
          <w:numId w:val="1"/>
        </w:numPr>
        <w:spacing w:before="100" w:beforeAutospacing="1" w:after="270" w:line="240" w:lineRule="auto"/>
        <w:jc w:val="both"/>
        <w:rPr>
          <w:rFonts w:ascii="Times New Roman" w:hAnsi="Times New Roman" w:cs="Times New Roman"/>
          <w:color w:val="000000"/>
          <w:sz w:val="24"/>
          <w:szCs w:val="24"/>
        </w:rPr>
      </w:pPr>
      <w:r w:rsidRPr="00013174">
        <w:rPr>
          <w:rFonts w:ascii="Times New Roman" w:hAnsi="Times New Roman" w:cs="Times New Roman"/>
          <w:color w:val="000000"/>
          <w:sz w:val="24"/>
          <w:szCs w:val="24"/>
        </w:rPr>
        <w:t>Using 10-30% CM in swine diets did not adversely affect feed intake during the grower or finisher phases.</w:t>
      </w:r>
    </w:p>
    <w:p w:rsidR="00005623" w:rsidRPr="00013174" w:rsidRDefault="00005623" w:rsidP="00005623">
      <w:pPr>
        <w:numPr>
          <w:ilvl w:val="0"/>
          <w:numId w:val="1"/>
        </w:numPr>
        <w:spacing w:before="100" w:beforeAutospacing="1" w:after="270" w:line="240" w:lineRule="auto"/>
        <w:jc w:val="both"/>
        <w:rPr>
          <w:rFonts w:ascii="Times New Roman" w:hAnsi="Times New Roman" w:cs="Times New Roman"/>
          <w:color w:val="000000"/>
          <w:sz w:val="24"/>
          <w:szCs w:val="24"/>
        </w:rPr>
      </w:pPr>
      <w:r w:rsidRPr="00013174">
        <w:rPr>
          <w:rFonts w:ascii="Times New Roman" w:hAnsi="Times New Roman" w:cs="Times New Roman"/>
          <w:color w:val="000000"/>
          <w:sz w:val="24"/>
          <w:szCs w:val="24"/>
        </w:rPr>
        <w:lastRenderedPageBreak/>
        <w:t>Growing and finishing pigs fed diets containing up to 20% and 17.5% CM, respectively, had weight gain and feed conversion ratios that were equivalent to pigs fed a diet containing SBM.</w:t>
      </w:r>
    </w:p>
    <w:p w:rsidR="00005623" w:rsidRPr="00013174" w:rsidRDefault="00005623" w:rsidP="00005623">
      <w:pPr>
        <w:numPr>
          <w:ilvl w:val="0"/>
          <w:numId w:val="1"/>
        </w:numPr>
        <w:spacing w:before="100" w:beforeAutospacing="1" w:after="270" w:line="240" w:lineRule="auto"/>
        <w:jc w:val="both"/>
        <w:rPr>
          <w:rFonts w:ascii="Times New Roman" w:hAnsi="Times New Roman" w:cs="Times New Roman"/>
          <w:color w:val="000000"/>
          <w:sz w:val="24"/>
          <w:szCs w:val="24"/>
        </w:rPr>
      </w:pPr>
      <w:r w:rsidRPr="00013174">
        <w:rPr>
          <w:rFonts w:ascii="Times New Roman" w:hAnsi="Times New Roman" w:cs="Times New Roman"/>
          <w:color w:val="000000"/>
          <w:sz w:val="24"/>
          <w:szCs w:val="24"/>
        </w:rPr>
        <w:t> CM can successfully replace significant quantities of SBM in swine rations that are typically fed to pigs in southern Vietnam.</w:t>
      </w:r>
    </w:p>
    <w:p w:rsidR="00005623" w:rsidRPr="00013174" w:rsidRDefault="00005623" w:rsidP="00005623">
      <w:pPr>
        <w:numPr>
          <w:ilvl w:val="0"/>
          <w:numId w:val="1"/>
        </w:numPr>
        <w:spacing w:before="100" w:beforeAutospacing="1" w:after="100" w:afterAutospacing="1" w:line="240" w:lineRule="auto"/>
        <w:jc w:val="both"/>
        <w:rPr>
          <w:rFonts w:ascii="Times New Roman" w:hAnsi="Times New Roman" w:cs="Times New Roman"/>
          <w:color w:val="000000"/>
          <w:sz w:val="24"/>
          <w:szCs w:val="24"/>
        </w:rPr>
      </w:pPr>
      <w:r w:rsidRPr="00013174">
        <w:rPr>
          <w:rFonts w:ascii="Times New Roman" w:hAnsi="Times New Roman" w:cs="Times New Roman"/>
          <w:color w:val="000000"/>
          <w:sz w:val="24"/>
          <w:szCs w:val="24"/>
        </w:rPr>
        <w:t>These levels may be increased further if the rations are formulated on the basis of digestible AA, to account for the lower digestibility of the essential AA in CM than in SBM. Further value can be obtained from CM if the diets are formulated to the NE values rather than to the ME values of feed ingredients.</w:t>
      </w:r>
    </w:p>
    <w:p w:rsidR="00005623" w:rsidRPr="00144069" w:rsidRDefault="00005623" w:rsidP="00005623">
      <w:pPr>
        <w:pStyle w:val="Heading4"/>
        <w:jc w:val="both"/>
        <w:rPr>
          <w:color w:val="000000"/>
          <w:sz w:val="20"/>
          <w:szCs w:val="20"/>
        </w:rPr>
      </w:pPr>
      <w:r w:rsidRPr="00013174">
        <w:rPr>
          <w:color w:val="000000"/>
        </w:rPr>
        <w:br/>
      </w:r>
      <w:r w:rsidRPr="00144069">
        <w:rPr>
          <w:color w:val="000000"/>
          <w:sz w:val="20"/>
          <w:szCs w:val="20"/>
        </w:rPr>
        <w:t>References</w:t>
      </w:r>
    </w:p>
    <w:p w:rsidR="00005623" w:rsidRPr="00144069" w:rsidRDefault="00005623" w:rsidP="00005623">
      <w:pPr>
        <w:pStyle w:val="NormalWeb"/>
        <w:jc w:val="both"/>
        <w:rPr>
          <w:color w:val="000000"/>
          <w:sz w:val="20"/>
          <w:szCs w:val="20"/>
        </w:rPr>
      </w:pPr>
      <w:r w:rsidRPr="00144069">
        <w:rPr>
          <w:rStyle w:val="Strong"/>
          <w:color w:val="000000"/>
          <w:sz w:val="20"/>
          <w:szCs w:val="20"/>
        </w:rPr>
        <w:t>Adewole D I, Rogiewicz A, Dyck B and Slominski B A 2016</w:t>
      </w:r>
      <w:r w:rsidRPr="00144069">
        <w:rPr>
          <w:color w:val="000000"/>
          <w:sz w:val="20"/>
          <w:szCs w:val="20"/>
        </w:rPr>
        <w:t> Chemical and nutritive characteristics of canola meal from Canadian processing-facilities. Animal Feed Science and Technology 222: 17-30.</w:t>
      </w:r>
    </w:p>
    <w:p w:rsidR="00005623" w:rsidRPr="00144069" w:rsidRDefault="00005623" w:rsidP="00005623">
      <w:pPr>
        <w:pStyle w:val="NormalWeb"/>
        <w:jc w:val="both"/>
        <w:rPr>
          <w:color w:val="000000"/>
          <w:sz w:val="20"/>
          <w:szCs w:val="20"/>
        </w:rPr>
      </w:pPr>
      <w:r w:rsidRPr="00144069">
        <w:rPr>
          <w:rStyle w:val="Strong"/>
          <w:color w:val="000000"/>
          <w:sz w:val="20"/>
          <w:szCs w:val="20"/>
        </w:rPr>
        <w:t>Bell J M 1984</w:t>
      </w:r>
      <w:r w:rsidRPr="00144069">
        <w:rPr>
          <w:color w:val="000000"/>
          <w:sz w:val="20"/>
          <w:szCs w:val="20"/>
        </w:rPr>
        <w:t> Nutrients and toxicants in rapeseed meal: a review. Journal of Animal Science 58: 996–1010.</w:t>
      </w:r>
    </w:p>
    <w:p w:rsidR="00005623" w:rsidRPr="00144069" w:rsidRDefault="00005623" w:rsidP="00005623">
      <w:pPr>
        <w:pStyle w:val="NormalWeb"/>
        <w:jc w:val="both"/>
        <w:rPr>
          <w:color w:val="000000"/>
          <w:sz w:val="20"/>
          <w:szCs w:val="20"/>
        </w:rPr>
      </w:pPr>
      <w:r w:rsidRPr="00144069">
        <w:rPr>
          <w:rStyle w:val="Strong"/>
          <w:color w:val="000000"/>
          <w:sz w:val="20"/>
          <w:szCs w:val="20"/>
        </w:rPr>
        <w:t>Bell J M 1993</w:t>
      </w:r>
      <w:r w:rsidRPr="00144069">
        <w:rPr>
          <w:color w:val="000000"/>
          <w:sz w:val="20"/>
          <w:szCs w:val="20"/>
        </w:rPr>
        <w:t> Factors affecting the nutritional value of canola meal: a review. Canada Journal of Animal Science 73: 689–697. https://doi: 10.4141/cjas93-075.</w:t>
      </w:r>
    </w:p>
    <w:p w:rsidR="00005623" w:rsidRPr="00144069" w:rsidRDefault="00005623" w:rsidP="00005623">
      <w:pPr>
        <w:pStyle w:val="NormalWeb"/>
        <w:jc w:val="both"/>
        <w:rPr>
          <w:color w:val="000000"/>
          <w:sz w:val="20"/>
          <w:szCs w:val="20"/>
        </w:rPr>
      </w:pPr>
      <w:r w:rsidRPr="00144069">
        <w:rPr>
          <w:rStyle w:val="Strong"/>
          <w:color w:val="000000"/>
          <w:sz w:val="20"/>
          <w:szCs w:val="20"/>
        </w:rPr>
        <w:t>Brand T S, Brandt D A and Cruywagen C W 2001</w:t>
      </w:r>
      <w:r w:rsidRPr="00144069">
        <w:rPr>
          <w:color w:val="000000"/>
          <w:sz w:val="20"/>
          <w:szCs w:val="20"/>
        </w:rPr>
        <w:t> Utilisation of growing-finishing pig diets containing high levels of solvent or expeller oil–extracted canola meal. New Zealand Journal of Agricultural Research</w:t>
      </w:r>
      <w:r w:rsidRPr="00144069">
        <w:rPr>
          <w:rStyle w:val="Emphasis"/>
          <w:color w:val="000000"/>
          <w:sz w:val="20"/>
          <w:szCs w:val="20"/>
        </w:rPr>
        <w:t> </w:t>
      </w:r>
      <w:r w:rsidRPr="00144069">
        <w:rPr>
          <w:color w:val="000000"/>
          <w:sz w:val="20"/>
          <w:szCs w:val="20"/>
        </w:rPr>
        <w:t>44: 31–35.</w:t>
      </w:r>
    </w:p>
    <w:p w:rsidR="00005623" w:rsidRPr="00144069" w:rsidRDefault="00005623" w:rsidP="00005623">
      <w:pPr>
        <w:pStyle w:val="NormalWeb"/>
        <w:jc w:val="both"/>
        <w:rPr>
          <w:color w:val="000000"/>
          <w:sz w:val="20"/>
          <w:szCs w:val="20"/>
        </w:rPr>
      </w:pPr>
      <w:r w:rsidRPr="00144069">
        <w:rPr>
          <w:rStyle w:val="Strong"/>
          <w:color w:val="000000"/>
          <w:sz w:val="20"/>
          <w:szCs w:val="20"/>
        </w:rPr>
        <w:t>Butler E J, Pearson A W and Fenwick G R 1982</w:t>
      </w:r>
      <w:r w:rsidRPr="00144069">
        <w:rPr>
          <w:color w:val="000000"/>
          <w:sz w:val="20"/>
          <w:szCs w:val="20"/>
        </w:rPr>
        <w:t> Problems which limit the use of rapeseed meal as a protein source in poultry diets. Journal of the Science of Food Agriculture 33: 866-875.</w:t>
      </w:r>
    </w:p>
    <w:p w:rsidR="00005623" w:rsidRPr="00144069" w:rsidRDefault="00005623" w:rsidP="00005623">
      <w:pPr>
        <w:pStyle w:val="NormalWeb"/>
        <w:jc w:val="both"/>
        <w:rPr>
          <w:color w:val="000000"/>
          <w:sz w:val="20"/>
          <w:szCs w:val="20"/>
        </w:rPr>
      </w:pPr>
      <w:r w:rsidRPr="00144069">
        <w:rPr>
          <w:rStyle w:val="Strong"/>
          <w:color w:val="000000"/>
          <w:sz w:val="20"/>
          <w:szCs w:val="20"/>
        </w:rPr>
        <w:t>Campbell L D and Slominski B A 1991</w:t>
      </w:r>
      <w:r w:rsidRPr="00144069">
        <w:rPr>
          <w:color w:val="000000"/>
          <w:sz w:val="20"/>
          <w:szCs w:val="20"/>
        </w:rPr>
        <w:t> Feeding quality of very low glucosinolate canola. Twelfth Western Nutrition Conference in Winnipeg, Manitoba, September 11-12, 1991: 245-252.</w:t>
      </w:r>
    </w:p>
    <w:p w:rsidR="00005623" w:rsidRPr="00144069" w:rsidRDefault="00005623" w:rsidP="006167C5">
      <w:pPr>
        <w:pStyle w:val="NormalWeb"/>
        <w:rPr>
          <w:color w:val="000000"/>
          <w:sz w:val="20"/>
          <w:szCs w:val="20"/>
        </w:rPr>
      </w:pPr>
      <w:r w:rsidRPr="00144069">
        <w:rPr>
          <w:rStyle w:val="Strong"/>
          <w:color w:val="000000"/>
          <w:sz w:val="20"/>
          <w:szCs w:val="20"/>
        </w:rPr>
        <w:t>Canola Council of Canada 2015 </w:t>
      </w:r>
      <w:r w:rsidRPr="00144069">
        <w:rPr>
          <w:color w:val="000000"/>
          <w:sz w:val="20"/>
          <w:szCs w:val="20"/>
        </w:rPr>
        <w:t>Canola Meal Feeding Guide 2015, from </w:t>
      </w:r>
      <w:hyperlink r:id="rId7" w:history="1">
        <w:r w:rsidRPr="00144069">
          <w:rPr>
            <w:rStyle w:val="Hyperlink"/>
            <w:sz w:val="20"/>
            <w:szCs w:val="20"/>
          </w:rPr>
          <w:t>https://www.canolacouncil.org/media/516716/2015_canola_meal_feed_industry_guide.pdf</w:t>
        </w:r>
      </w:hyperlink>
    </w:p>
    <w:p w:rsidR="00005623" w:rsidRPr="00144069" w:rsidRDefault="00005623" w:rsidP="00005623">
      <w:pPr>
        <w:pStyle w:val="NormalWeb"/>
        <w:jc w:val="both"/>
        <w:rPr>
          <w:color w:val="000000"/>
          <w:sz w:val="20"/>
          <w:szCs w:val="20"/>
        </w:rPr>
      </w:pPr>
      <w:r w:rsidRPr="00144069">
        <w:rPr>
          <w:rStyle w:val="Strong"/>
          <w:color w:val="000000"/>
          <w:sz w:val="20"/>
          <w:szCs w:val="20"/>
        </w:rPr>
        <w:t>Chauhan J S, Bhadauria V P S, Singh M, Singh K H and Kumar A 2007</w:t>
      </w:r>
      <w:r w:rsidRPr="00144069">
        <w:rPr>
          <w:color w:val="000000"/>
          <w:sz w:val="20"/>
          <w:szCs w:val="20"/>
        </w:rPr>
        <w:t> Quality characteristics and their interrelationship in Indian rapeseed-mustard (</w:t>
      </w:r>
      <w:r w:rsidRPr="00144069">
        <w:rPr>
          <w:rStyle w:val="Emphasis"/>
          <w:color w:val="000000"/>
          <w:sz w:val="20"/>
          <w:szCs w:val="20"/>
        </w:rPr>
        <w:t>Brassica</w:t>
      </w:r>
      <w:r w:rsidRPr="00144069">
        <w:rPr>
          <w:color w:val="000000"/>
          <w:sz w:val="20"/>
          <w:szCs w:val="20"/>
        </w:rPr>
        <w:t> sp) varieties. Indian Journal of Agricultural Sciences 77, 616–620.</w:t>
      </w:r>
    </w:p>
    <w:p w:rsidR="00005623" w:rsidRPr="00144069" w:rsidRDefault="00005623" w:rsidP="00005623">
      <w:pPr>
        <w:pStyle w:val="NormalWeb"/>
        <w:jc w:val="both"/>
        <w:rPr>
          <w:color w:val="000000"/>
          <w:sz w:val="20"/>
          <w:szCs w:val="20"/>
        </w:rPr>
      </w:pPr>
      <w:r w:rsidRPr="00144069">
        <w:rPr>
          <w:rStyle w:val="Strong"/>
          <w:color w:val="000000"/>
          <w:sz w:val="20"/>
          <w:szCs w:val="20"/>
        </w:rPr>
        <w:t>Landero J L, Beltranena E and Zijlstra R T 2012 </w:t>
      </w:r>
      <w:r w:rsidRPr="00144069">
        <w:rPr>
          <w:color w:val="000000"/>
          <w:sz w:val="20"/>
          <w:szCs w:val="20"/>
        </w:rPr>
        <w:t>Growth performance and preference studies to evaluate solvent-extracted </w:t>
      </w:r>
      <w:r w:rsidRPr="00144069">
        <w:rPr>
          <w:rStyle w:val="Emphasis"/>
          <w:color w:val="000000"/>
          <w:sz w:val="20"/>
          <w:szCs w:val="20"/>
        </w:rPr>
        <w:t>Brassica napus </w:t>
      </w:r>
      <w:r w:rsidRPr="00144069">
        <w:rPr>
          <w:color w:val="000000"/>
          <w:sz w:val="20"/>
          <w:szCs w:val="20"/>
        </w:rPr>
        <w:t>or </w:t>
      </w:r>
      <w:r w:rsidRPr="00144069">
        <w:rPr>
          <w:rStyle w:val="Emphasis"/>
          <w:color w:val="000000"/>
          <w:sz w:val="20"/>
          <w:szCs w:val="20"/>
        </w:rPr>
        <w:t>Brassica juncea </w:t>
      </w:r>
      <w:r w:rsidRPr="00144069">
        <w:rPr>
          <w:color w:val="000000"/>
          <w:sz w:val="20"/>
          <w:szCs w:val="20"/>
        </w:rPr>
        <w:t>canola meal fed to weaned pigs. Journal of Animal Science 90, 406–408.</w:t>
      </w:r>
    </w:p>
    <w:p w:rsidR="00005623" w:rsidRPr="00144069" w:rsidRDefault="00005623" w:rsidP="00005623">
      <w:pPr>
        <w:pStyle w:val="NormalWeb"/>
        <w:jc w:val="both"/>
        <w:rPr>
          <w:color w:val="000000"/>
          <w:sz w:val="20"/>
          <w:szCs w:val="20"/>
        </w:rPr>
      </w:pPr>
      <w:r w:rsidRPr="00144069">
        <w:rPr>
          <w:rStyle w:val="Strong"/>
          <w:color w:val="000000"/>
          <w:sz w:val="20"/>
          <w:szCs w:val="20"/>
        </w:rPr>
        <w:t>Landero J L, Beltranena E, Cervantes M, Morales A and Zijlstra R T 2011</w:t>
      </w:r>
      <w:r w:rsidRPr="00144069">
        <w:rPr>
          <w:color w:val="000000"/>
          <w:sz w:val="20"/>
          <w:szCs w:val="20"/>
        </w:rPr>
        <w:t> The effect of feeding solvent-extracted canola meal on growth performance and diet nutrient digestibility in weaned pigs. Animal Feed Science and Technology 170: 136–140.</w:t>
      </w:r>
    </w:p>
    <w:p w:rsidR="00005623" w:rsidRPr="00144069" w:rsidRDefault="00005623" w:rsidP="00005623">
      <w:pPr>
        <w:pStyle w:val="NormalWeb"/>
        <w:jc w:val="both"/>
        <w:rPr>
          <w:color w:val="000000"/>
          <w:sz w:val="20"/>
          <w:szCs w:val="20"/>
        </w:rPr>
      </w:pPr>
      <w:r w:rsidRPr="00144069">
        <w:rPr>
          <w:rStyle w:val="Strong"/>
          <w:color w:val="000000"/>
          <w:sz w:val="20"/>
          <w:szCs w:val="20"/>
        </w:rPr>
        <w:t>Maison T, Liu Y and Stein H H 2015</w:t>
      </w:r>
      <w:r w:rsidRPr="00144069">
        <w:rPr>
          <w:color w:val="000000"/>
          <w:sz w:val="20"/>
          <w:szCs w:val="20"/>
        </w:rPr>
        <w:t> Digestibility of energy and detergent fiber and digestible and metabolisable energy values in canola meal, 00-rapeseed meal and 00-rapeseed expellers fed to growing pigs. Journal of Animal Science 93:652–660.</w:t>
      </w:r>
    </w:p>
    <w:p w:rsidR="00005623" w:rsidRPr="00144069" w:rsidRDefault="00005623" w:rsidP="00005623">
      <w:pPr>
        <w:pStyle w:val="NormalWeb"/>
        <w:jc w:val="both"/>
        <w:rPr>
          <w:color w:val="000000"/>
          <w:sz w:val="20"/>
          <w:szCs w:val="20"/>
        </w:rPr>
      </w:pPr>
      <w:r w:rsidRPr="00144069">
        <w:rPr>
          <w:rStyle w:val="Strong"/>
          <w:color w:val="000000"/>
          <w:sz w:val="20"/>
          <w:szCs w:val="20"/>
        </w:rPr>
        <w:lastRenderedPageBreak/>
        <w:t>National Research Council 2012 </w:t>
      </w:r>
      <w:r w:rsidRPr="00144069">
        <w:rPr>
          <w:color w:val="000000"/>
          <w:sz w:val="20"/>
          <w:szCs w:val="20"/>
        </w:rPr>
        <w:t>Nutrient Requirements of Swine, 11</w:t>
      </w:r>
      <w:r w:rsidRPr="00144069">
        <w:rPr>
          <w:color w:val="000000"/>
          <w:sz w:val="20"/>
          <w:szCs w:val="20"/>
          <w:vertAlign w:val="superscript"/>
        </w:rPr>
        <w:t>th</w:t>
      </w:r>
      <w:r w:rsidRPr="00144069">
        <w:rPr>
          <w:color w:val="000000"/>
          <w:sz w:val="20"/>
          <w:szCs w:val="20"/>
        </w:rPr>
        <w:t> Edition, The National Academies Press, 500 Fifth St. NW, Washington, D.C. 20001.</w:t>
      </w:r>
    </w:p>
    <w:p w:rsidR="00005623" w:rsidRPr="00144069" w:rsidRDefault="00005623" w:rsidP="00005623">
      <w:pPr>
        <w:pStyle w:val="NormalWeb"/>
        <w:jc w:val="both"/>
        <w:rPr>
          <w:color w:val="000000"/>
          <w:sz w:val="20"/>
          <w:szCs w:val="20"/>
        </w:rPr>
      </w:pPr>
      <w:r w:rsidRPr="00144069">
        <w:rPr>
          <w:rStyle w:val="Strong"/>
          <w:color w:val="000000"/>
          <w:sz w:val="20"/>
          <w:szCs w:val="20"/>
        </w:rPr>
        <w:t>Newkirk R W, Classen H L, Scott T A and Edney M J 2003 </w:t>
      </w:r>
      <w:r w:rsidRPr="00144069">
        <w:rPr>
          <w:color w:val="000000"/>
          <w:sz w:val="20"/>
          <w:szCs w:val="20"/>
        </w:rPr>
        <w:t>The digestibility and content of amino acids in toasted and non-toasted canola meals. Canada Journal of Animal Science 83:131-139.</w:t>
      </w:r>
    </w:p>
    <w:p w:rsidR="00005623" w:rsidRPr="00144069" w:rsidRDefault="00005623" w:rsidP="00005623">
      <w:pPr>
        <w:pStyle w:val="NormalWeb"/>
        <w:jc w:val="both"/>
        <w:rPr>
          <w:color w:val="000000"/>
          <w:sz w:val="20"/>
          <w:szCs w:val="20"/>
        </w:rPr>
      </w:pPr>
      <w:r w:rsidRPr="00144069">
        <w:rPr>
          <w:rStyle w:val="Strong"/>
          <w:color w:val="000000"/>
          <w:sz w:val="20"/>
          <w:szCs w:val="20"/>
        </w:rPr>
        <w:t>Raj S T, Fandrejewski H, Weremko D, Skiba G, Buraczewska L, Zebrowska T and Han I K 2000</w:t>
      </w:r>
      <w:r w:rsidRPr="00144069">
        <w:rPr>
          <w:color w:val="000000"/>
          <w:sz w:val="20"/>
          <w:szCs w:val="20"/>
        </w:rPr>
        <w:t> Growth performance, body composition, and protein and energy utilisation of pigs fed </w:t>
      </w:r>
      <w:r w:rsidRPr="00144069">
        <w:rPr>
          <w:rStyle w:val="Emphasis"/>
          <w:color w:val="000000"/>
          <w:sz w:val="20"/>
          <w:szCs w:val="20"/>
        </w:rPr>
        <w:t>ad libitum</w:t>
      </w:r>
      <w:r w:rsidRPr="00144069">
        <w:rPr>
          <w:color w:val="000000"/>
          <w:sz w:val="20"/>
          <w:szCs w:val="20"/>
        </w:rPr>
        <w:t> diets formulated according to digestible amino acid content. Asian-Australasian Journal of Animal Sciences 13: 817–823.</w:t>
      </w:r>
    </w:p>
    <w:p w:rsidR="00005623" w:rsidRPr="00144069" w:rsidRDefault="00005623" w:rsidP="00005623">
      <w:pPr>
        <w:pStyle w:val="NormalWeb"/>
        <w:jc w:val="both"/>
        <w:rPr>
          <w:color w:val="000000"/>
          <w:sz w:val="20"/>
          <w:szCs w:val="20"/>
        </w:rPr>
      </w:pPr>
      <w:r w:rsidRPr="00144069">
        <w:rPr>
          <w:rStyle w:val="Strong"/>
          <w:color w:val="000000"/>
          <w:sz w:val="20"/>
          <w:szCs w:val="20"/>
        </w:rPr>
        <w:t>Roth-Maier D A, Böhmer B M and Roth F X 2004 </w:t>
      </w:r>
      <w:r w:rsidRPr="00144069">
        <w:rPr>
          <w:color w:val="000000"/>
          <w:sz w:val="20"/>
          <w:szCs w:val="20"/>
        </w:rPr>
        <w:t>Effects of feeding canola meal and sweet lupin (</w:t>
      </w:r>
      <w:r w:rsidRPr="00144069">
        <w:rPr>
          <w:rStyle w:val="Emphasis"/>
          <w:color w:val="000000"/>
          <w:sz w:val="20"/>
          <w:szCs w:val="20"/>
        </w:rPr>
        <w:t>L. uteus</w:t>
      </w:r>
      <w:r w:rsidRPr="00144069">
        <w:rPr>
          <w:color w:val="000000"/>
          <w:sz w:val="20"/>
          <w:szCs w:val="20"/>
        </w:rPr>
        <w:t>, </w:t>
      </w:r>
      <w:r w:rsidRPr="00144069">
        <w:rPr>
          <w:rStyle w:val="Emphasis"/>
          <w:color w:val="000000"/>
          <w:sz w:val="20"/>
          <w:szCs w:val="20"/>
        </w:rPr>
        <w:t>L. angustifolius</w:t>
      </w:r>
      <w:r w:rsidRPr="00144069">
        <w:rPr>
          <w:color w:val="000000"/>
          <w:sz w:val="20"/>
          <w:szCs w:val="20"/>
        </w:rPr>
        <w:t>) in amino acid balanced diets on growth performance and carcass characteristics of growing-finishing pigs. Animal Research</w:t>
      </w:r>
      <w:r w:rsidRPr="00144069">
        <w:rPr>
          <w:rStyle w:val="Emphasis"/>
          <w:color w:val="000000"/>
          <w:sz w:val="20"/>
          <w:szCs w:val="20"/>
        </w:rPr>
        <w:t> </w:t>
      </w:r>
      <w:r w:rsidRPr="00144069">
        <w:rPr>
          <w:color w:val="000000"/>
          <w:sz w:val="20"/>
          <w:szCs w:val="20"/>
        </w:rPr>
        <w:t>53: 21–34.</w:t>
      </w:r>
    </w:p>
    <w:p w:rsidR="00005623" w:rsidRPr="00144069" w:rsidRDefault="00005623" w:rsidP="00005623">
      <w:pPr>
        <w:pStyle w:val="NormalWeb"/>
        <w:jc w:val="both"/>
        <w:rPr>
          <w:color w:val="000000"/>
          <w:sz w:val="20"/>
          <w:szCs w:val="20"/>
        </w:rPr>
      </w:pPr>
      <w:r w:rsidRPr="00144069">
        <w:rPr>
          <w:rStyle w:val="Strong"/>
          <w:color w:val="000000"/>
          <w:sz w:val="20"/>
          <w:szCs w:val="20"/>
        </w:rPr>
        <w:t>Sanjayan N, Heo J M and Nyachoti C M 2014 </w:t>
      </w:r>
      <w:r w:rsidRPr="00144069">
        <w:rPr>
          <w:color w:val="000000"/>
          <w:sz w:val="20"/>
          <w:szCs w:val="20"/>
        </w:rPr>
        <w:t>Nutrient digestibility and growth performance of pigs fed diets with different levels of canola meal from </w:t>
      </w:r>
      <w:r w:rsidRPr="00144069">
        <w:rPr>
          <w:rStyle w:val="Emphasis"/>
          <w:color w:val="000000"/>
          <w:sz w:val="20"/>
          <w:szCs w:val="20"/>
        </w:rPr>
        <w:t>Brassica napus </w:t>
      </w:r>
      <w:r w:rsidRPr="00144069">
        <w:rPr>
          <w:color w:val="000000"/>
          <w:sz w:val="20"/>
          <w:szCs w:val="20"/>
        </w:rPr>
        <w:t>black and </w:t>
      </w:r>
      <w:r w:rsidRPr="00144069">
        <w:rPr>
          <w:rStyle w:val="Emphasis"/>
          <w:color w:val="000000"/>
          <w:sz w:val="20"/>
          <w:szCs w:val="20"/>
        </w:rPr>
        <w:t>Brassica juncea </w:t>
      </w:r>
      <w:r w:rsidRPr="00144069">
        <w:rPr>
          <w:color w:val="000000"/>
          <w:sz w:val="20"/>
          <w:szCs w:val="20"/>
        </w:rPr>
        <w:t>yellow. Journal of Animal Science 92: 3895–3905.</w:t>
      </w:r>
    </w:p>
    <w:p w:rsidR="00005623" w:rsidRPr="00144069" w:rsidRDefault="00005623" w:rsidP="00005623">
      <w:pPr>
        <w:pStyle w:val="NormalWeb"/>
        <w:jc w:val="both"/>
        <w:rPr>
          <w:color w:val="000000"/>
          <w:sz w:val="20"/>
          <w:szCs w:val="20"/>
        </w:rPr>
      </w:pPr>
      <w:r w:rsidRPr="00144069">
        <w:rPr>
          <w:rStyle w:val="Strong"/>
          <w:color w:val="000000"/>
          <w:sz w:val="20"/>
          <w:szCs w:val="20"/>
        </w:rPr>
        <w:t>Sauer W C, Cichon R and Misir R 1982 </w:t>
      </w:r>
      <w:r w:rsidRPr="00144069">
        <w:rPr>
          <w:color w:val="000000"/>
          <w:sz w:val="20"/>
          <w:szCs w:val="20"/>
        </w:rPr>
        <w:t>Amino acid availability and protein quality of canola and rapeseed meal for pigs and rats. Journal of Animal Science 54: 292–301.</w:t>
      </w:r>
    </w:p>
    <w:p w:rsidR="00005623" w:rsidRPr="00144069" w:rsidRDefault="00005623" w:rsidP="00005623">
      <w:pPr>
        <w:pStyle w:val="NormalWeb"/>
        <w:jc w:val="both"/>
        <w:rPr>
          <w:color w:val="000000"/>
          <w:sz w:val="20"/>
          <w:szCs w:val="20"/>
        </w:rPr>
      </w:pPr>
      <w:r w:rsidRPr="00144069">
        <w:rPr>
          <w:rStyle w:val="Strong"/>
          <w:color w:val="000000"/>
          <w:sz w:val="20"/>
          <w:szCs w:val="20"/>
        </w:rPr>
        <w:t>Siljander-Rasi H, Valaja J, Alaviuhkola T, Rantamäki P and Tupasela T 1996</w:t>
      </w:r>
      <w:r w:rsidRPr="00144069">
        <w:rPr>
          <w:color w:val="000000"/>
          <w:sz w:val="20"/>
          <w:szCs w:val="20"/>
        </w:rPr>
        <w:t> Replacing soybean meal with heat-treated low-glucosinolate rapeseed meal does not affect the performance of growing-finishing pigs. Animal Feed Science and Technology 60: 1–12.</w:t>
      </w:r>
    </w:p>
    <w:p w:rsidR="00005623" w:rsidRPr="00144069" w:rsidRDefault="00005623" w:rsidP="00005623">
      <w:pPr>
        <w:pStyle w:val="NormalWeb"/>
        <w:jc w:val="both"/>
        <w:rPr>
          <w:color w:val="000000"/>
          <w:sz w:val="20"/>
          <w:szCs w:val="20"/>
        </w:rPr>
      </w:pPr>
      <w:r w:rsidRPr="00144069">
        <w:rPr>
          <w:rStyle w:val="Strong"/>
          <w:color w:val="000000"/>
          <w:sz w:val="20"/>
          <w:szCs w:val="20"/>
        </w:rPr>
        <w:t>Smit M N, Seneviratne R W, Young M G, Lanz G, Zijlstra R T and Beltranena E 2014a </w:t>
      </w:r>
      <w:r w:rsidRPr="00144069">
        <w:rPr>
          <w:color w:val="000000"/>
          <w:sz w:val="20"/>
          <w:szCs w:val="20"/>
        </w:rPr>
        <w:t>Feeding Brassica juncea or Brassica napus canola meal at increasing dietary inclusions to growing-finishing gilts and barrows. Animal Feed Science and Technology</w:t>
      </w:r>
      <w:r w:rsidRPr="00144069">
        <w:rPr>
          <w:rStyle w:val="Emphasis"/>
          <w:color w:val="000000"/>
          <w:sz w:val="20"/>
          <w:szCs w:val="20"/>
        </w:rPr>
        <w:t> </w:t>
      </w:r>
      <w:r w:rsidRPr="00144069">
        <w:rPr>
          <w:color w:val="000000"/>
          <w:sz w:val="20"/>
          <w:szCs w:val="20"/>
        </w:rPr>
        <w:t>198: 176–185.</w:t>
      </w:r>
    </w:p>
    <w:p w:rsidR="00005623" w:rsidRPr="00144069" w:rsidRDefault="00005623" w:rsidP="00005623">
      <w:pPr>
        <w:pStyle w:val="NormalWeb"/>
        <w:jc w:val="both"/>
        <w:rPr>
          <w:color w:val="000000"/>
          <w:sz w:val="20"/>
          <w:szCs w:val="20"/>
        </w:rPr>
      </w:pPr>
      <w:r w:rsidRPr="00144069">
        <w:rPr>
          <w:rStyle w:val="Strong"/>
          <w:color w:val="000000"/>
          <w:sz w:val="20"/>
          <w:szCs w:val="20"/>
        </w:rPr>
        <w:t>Smit M N, Seneviratne R W, Young M G, Lanz G, Zijlstra R T and Beltranena E 2014b </w:t>
      </w:r>
      <w:r w:rsidRPr="00144069">
        <w:rPr>
          <w:color w:val="000000"/>
          <w:sz w:val="20"/>
          <w:szCs w:val="20"/>
        </w:rPr>
        <w:t>Feeding increasing inclusion of canola meal and distillers’ dried grains and solubles to growing-finishing barrows and gilts. Animal Feed Science and Technology 189: 107–116.</w:t>
      </w:r>
    </w:p>
    <w:p w:rsidR="00005623" w:rsidRPr="00005623" w:rsidRDefault="00005623" w:rsidP="00005623">
      <w:pPr>
        <w:spacing w:before="100" w:beforeAutospacing="1" w:after="100" w:afterAutospacing="1" w:line="240" w:lineRule="auto"/>
        <w:jc w:val="both"/>
        <w:rPr>
          <w:rFonts w:ascii="Times New Roman" w:eastAsia="Times New Roman" w:hAnsi="Times New Roman" w:cs="Times New Roman"/>
          <w:color w:val="000000"/>
          <w:sz w:val="27"/>
          <w:szCs w:val="27"/>
        </w:rPr>
      </w:pPr>
    </w:p>
    <w:p w:rsidR="0040039B" w:rsidRDefault="00A44D55" w:rsidP="00005623">
      <w:pPr>
        <w:jc w:val="both"/>
      </w:pPr>
    </w:p>
    <w:sectPr w:rsidR="004003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F0E56"/>
    <w:multiLevelType w:val="multilevel"/>
    <w:tmpl w:val="676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23"/>
    <w:rsid w:val="00005623"/>
    <w:rsid w:val="00013174"/>
    <w:rsid w:val="00144069"/>
    <w:rsid w:val="004E09B8"/>
    <w:rsid w:val="006167C5"/>
    <w:rsid w:val="00655A86"/>
    <w:rsid w:val="006D25EE"/>
    <w:rsid w:val="00A44D55"/>
    <w:rsid w:val="00CA4524"/>
    <w:rsid w:val="00F7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11B4"/>
  <w15:chartTrackingRefBased/>
  <w15:docId w15:val="{3CEA2F4B-9D17-463C-8513-A7B8E52C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5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5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56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056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056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6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56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56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0562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05623"/>
    <w:rPr>
      <w:color w:val="0000FF"/>
      <w:u w:val="single"/>
    </w:rPr>
  </w:style>
  <w:style w:type="paragraph" w:styleId="NormalWeb">
    <w:name w:val="Normal (Web)"/>
    <w:basedOn w:val="Normal"/>
    <w:uiPriority w:val="99"/>
    <w:unhideWhenUsed/>
    <w:rsid w:val="00005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5623"/>
    <w:rPr>
      <w:i/>
      <w:iCs/>
    </w:rPr>
  </w:style>
  <w:style w:type="character" w:styleId="Strong">
    <w:name w:val="Strong"/>
    <w:basedOn w:val="DefaultParagraphFont"/>
    <w:uiPriority w:val="22"/>
    <w:qFormat/>
    <w:rsid w:val="00005623"/>
    <w:rPr>
      <w:b/>
      <w:bCs/>
    </w:rPr>
  </w:style>
  <w:style w:type="character" w:customStyle="1" w:styleId="Heading5Char">
    <w:name w:val="Heading 5 Char"/>
    <w:basedOn w:val="DefaultParagraphFont"/>
    <w:link w:val="Heading5"/>
    <w:uiPriority w:val="9"/>
    <w:semiHidden/>
    <w:rsid w:val="0000562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778">
      <w:bodyDiv w:val="1"/>
      <w:marLeft w:val="0"/>
      <w:marRight w:val="0"/>
      <w:marTop w:val="0"/>
      <w:marBottom w:val="0"/>
      <w:divBdr>
        <w:top w:val="none" w:sz="0" w:space="0" w:color="auto"/>
        <w:left w:val="none" w:sz="0" w:space="0" w:color="auto"/>
        <w:bottom w:val="none" w:sz="0" w:space="0" w:color="auto"/>
        <w:right w:val="none" w:sz="0" w:space="0" w:color="auto"/>
      </w:divBdr>
    </w:div>
    <w:div w:id="898706453">
      <w:bodyDiv w:val="1"/>
      <w:marLeft w:val="0"/>
      <w:marRight w:val="0"/>
      <w:marTop w:val="0"/>
      <w:marBottom w:val="0"/>
      <w:divBdr>
        <w:top w:val="none" w:sz="0" w:space="0" w:color="auto"/>
        <w:left w:val="none" w:sz="0" w:space="0" w:color="auto"/>
        <w:bottom w:val="none" w:sz="0" w:space="0" w:color="auto"/>
        <w:right w:val="none" w:sz="0" w:space="0" w:color="auto"/>
      </w:divBdr>
    </w:div>
    <w:div w:id="21197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olacouncil.org/media/516716/2015_canola_meal_feed_industry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kinh4@gmail.com" TargetMode="External"/><Relationship Id="rId5" Type="http://schemas.openxmlformats.org/officeDocument/2006/relationships/hyperlink" Target="http://www.lrrd.org/lrrd31/9/cont3109.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9</cp:revision>
  <dcterms:created xsi:type="dcterms:W3CDTF">2020-04-22T02:09:00Z</dcterms:created>
  <dcterms:modified xsi:type="dcterms:W3CDTF">2020-04-22T02:40:00Z</dcterms:modified>
</cp:coreProperties>
</file>